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4116"/>
        <w:gridCol w:w="3084"/>
      </w:tblGrid>
      <w:tr w:rsidR="00372BE1" w:rsidRPr="00064136" w14:paraId="20FC3975" w14:textId="77777777" w:rsidTr="00064136">
        <w:tc>
          <w:tcPr>
            <w:tcW w:w="6744" w:type="dxa"/>
            <w:gridSpan w:val="2"/>
            <w:tcBorders>
              <w:top w:val="nil"/>
              <w:left w:val="nil"/>
              <w:bottom w:val="nil"/>
              <w:right w:val="nil"/>
            </w:tcBorders>
          </w:tcPr>
          <w:p w14:paraId="144F9583" w14:textId="77777777" w:rsidR="00E27691" w:rsidRPr="008A14BF" w:rsidRDefault="00372BE1" w:rsidP="00E27691">
            <w:pPr>
              <w:pStyle w:val="DepartmentTitle"/>
              <w:tabs>
                <w:tab w:val="left" w:pos="425"/>
              </w:tabs>
            </w:pPr>
            <w:bookmarkStart w:id="0" w:name="bmTop"/>
            <w:bookmarkEnd w:id="0"/>
            <w:r w:rsidRPr="008A14BF">
              <w:t>Department of Health</w:t>
            </w:r>
            <w:r w:rsidR="00E27691" w:rsidRPr="008A14BF">
              <w:t xml:space="preserve"> </w:t>
            </w:r>
          </w:p>
          <w:p w14:paraId="4C2771CB" w14:textId="77777777" w:rsidR="00372BE1" w:rsidRPr="008A14BF" w:rsidRDefault="00372BE1" w:rsidP="00064136">
            <w:pPr>
              <w:pStyle w:val="Sub-branch"/>
              <w:tabs>
                <w:tab w:val="left" w:pos="425"/>
              </w:tabs>
            </w:pPr>
          </w:p>
        </w:tc>
        <w:tc>
          <w:tcPr>
            <w:tcW w:w="3084" w:type="dxa"/>
            <w:tcBorders>
              <w:top w:val="nil"/>
              <w:left w:val="nil"/>
              <w:bottom w:val="nil"/>
              <w:right w:val="nil"/>
            </w:tcBorders>
          </w:tcPr>
          <w:p w14:paraId="20456339" w14:textId="77777777" w:rsidR="00372BE1" w:rsidRPr="008A14BF" w:rsidRDefault="00E02C44" w:rsidP="00064136">
            <w:pPr>
              <w:pStyle w:val="Logo"/>
              <w:tabs>
                <w:tab w:val="left" w:pos="425"/>
                <w:tab w:val="left" w:pos="8280"/>
                <w:tab w:val="left" w:pos="9180"/>
              </w:tabs>
              <w:spacing w:after="240"/>
            </w:pPr>
            <w:r>
              <w:rPr>
                <w:noProof/>
                <w:lang w:eastAsia="en-AU"/>
              </w:rPr>
              <w:drawing>
                <wp:inline distT="0" distB="0" distL="0" distR="0" wp14:anchorId="49A9935E" wp14:editId="09875D49">
                  <wp:extent cx="981075" cy="914400"/>
                  <wp:effectExtent l="19050" t="0" r="9525" b="0"/>
                  <wp:docPr id="1" name="Picture 1" descr="2011-03-07 - 2010_TAS_Go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1-03-07 - 2010_TAS_Gov_Logo"/>
                          <pic:cNvPicPr>
                            <a:picLocks noChangeAspect="1" noChangeArrowheads="1"/>
                          </pic:cNvPicPr>
                        </pic:nvPicPr>
                        <pic:blipFill>
                          <a:blip r:embed="rId8" cstate="print"/>
                          <a:srcRect/>
                          <a:stretch>
                            <a:fillRect/>
                          </a:stretch>
                        </pic:blipFill>
                        <pic:spPr bwMode="auto">
                          <a:xfrm>
                            <a:off x="0" y="0"/>
                            <a:ext cx="981075" cy="914400"/>
                          </a:xfrm>
                          <a:prstGeom prst="rect">
                            <a:avLst/>
                          </a:prstGeom>
                          <a:noFill/>
                          <a:ln w="9525">
                            <a:noFill/>
                            <a:miter lim="800000"/>
                            <a:headEnd/>
                            <a:tailEnd/>
                          </a:ln>
                        </pic:spPr>
                      </pic:pic>
                    </a:graphicData>
                  </a:graphic>
                </wp:inline>
              </w:drawing>
            </w:r>
          </w:p>
        </w:tc>
      </w:tr>
      <w:tr w:rsidR="00372BE1" w:rsidRPr="00064136" w14:paraId="15DC958C" w14:textId="77777777" w:rsidTr="00064136">
        <w:tc>
          <w:tcPr>
            <w:tcW w:w="9828" w:type="dxa"/>
            <w:gridSpan w:val="3"/>
            <w:tcBorders>
              <w:top w:val="nil"/>
              <w:left w:val="nil"/>
              <w:bottom w:val="nil"/>
              <w:right w:val="nil"/>
            </w:tcBorders>
          </w:tcPr>
          <w:p w14:paraId="0734F661" w14:textId="02F378F6" w:rsidR="00372BE1" w:rsidRPr="008A14BF" w:rsidRDefault="00000000" w:rsidP="00117ED9">
            <w:pPr>
              <w:pStyle w:val="Heading1"/>
              <w:tabs>
                <w:tab w:val="left" w:pos="425"/>
                <w:tab w:val="left" w:pos="8280"/>
                <w:tab w:val="left" w:pos="9180"/>
              </w:tabs>
              <w:jc w:val="center"/>
            </w:pPr>
            <w:fldSimple w:instr=" DOCPROPERTY  ProcedureTitle  \* MERGEFORMAT ">
              <w:r w:rsidR="006A25E8">
                <w:t xml:space="preserve">Low </w:t>
              </w:r>
              <w:r w:rsidR="00660943">
                <w:t xml:space="preserve">Risk </w:t>
              </w:r>
              <w:r w:rsidR="006A25E8">
                <w:t xml:space="preserve">Research </w:t>
              </w:r>
            </w:fldSimple>
            <w:r w:rsidR="00023C34">
              <w:t>Procedure</w:t>
            </w:r>
            <w:r w:rsidR="00117ED9" w:rsidRPr="008A14BF">
              <w:t xml:space="preserve"> </w:t>
            </w:r>
          </w:p>
        </w:tc>
      </w:tr>
      <w:tr w:rsidR="00D42456" w:rsidRPr="00040B14" w14:paraId="519E9B2F" w14:textId="77777777" w:rsidTr="00064136">
        <w:tblPrEx>
          <w:tblBorders>
            <w:top w:val="none" w:sz="0" w:space="0" w:color="auto"/>
            <w:left w:val="none" w:sz="0" w:space="0" w:color="auto"/>
            <w:right w:val="none" w:sz="0" w:space="0" w:color="auto"/>
            <w:insideH w:val="none" w:sz="0" w:space="0" w:color="auto"/>
            <w:insideV w:val="none" w:sz="0" w:space="0" w:color="auto"/>
          </w:tblBorders>
        </w:tblPrEx>
        <w:tc>
          <w:tcPr>
            <w:tcW w:w="2628" w:type="dxa"/>
            <w:tcBorders>
              <w:top w:val="nil"/>
            </w:tcBorders>
          </w:tcPr>
          <w:p w14:paraId="4A61D913" w14:textId="77777777" w:rsidR="00D42456" w:rsidRPr="00040B14" w:rsidRDefault="00394339" w:rsidP="00064136">
            <w:pPr>
              <w:pStyle w:val="InformationBlockfillin"/>
              <w:tabs>
                <w:tab w:val="left" w:pos="425"/>
                <w:tab w:val="left" w:pos="1800"/>
                <w:tab w:val="left" w:pos="5040"/>
                <w:tab w:val="left" w:pos="8280"/>
                <w:tab w:val="left" w:pos="9180"/>
              </w:tabs>
              <w:spacing w:line="300" w:lineRule="exact"/>
              <w:rPr>
                <w:rStyle w:val="InformationBlockChar"/>
              </w:rPr>
            </w:pPr>
            <w:r>
              <w:rPr>
                <w:rStyle w:val="InformationBlockChar"/>
              </w:rPr>
              <w:t xml:space="preserve">SDMS Id </w:t>
            </w:r>
            <w:r w:rsidR="00D42456" w:rsidRPr="00040B14">
              <w:rPr>
                <w:rStyle w:val="InformationBlockChar"/>
              </w:rPr>
              <w:t>Number</w:t>
            </w:r>
            <w:r w:rsidR="00272CDD">
              <w:rPr>
                <w:rStyle w:val="InformationBlockChar"/>
              </w:rPr>
              <w:t>:</w:t>
            </w:r>
          </w:p>
        </w:tc>
        <w:tc>
          <w:tcPr>
            <w:tcW w:w="7200" w:type="dxa"/>
            <w:gridSpan w:val="2"/>
            <w:tcBorders>
              <w:top w:val="nil"/>
              <w:bottom w:val="nil"/>
            </w:tcBorders>
            <w:shd w:val="clear" w:color="auto" w:fill="auto"/>
            <w:vAlign w:val="center"/>
          </w:tcPr>
          <w:p w14:paraId="26D1971B" w14:textId="275A4EFD" w:rsidR="00D42456" w:rsidRPr="00064136" w:rsidRDefault="005802AE" w:rsidP="00064136">
            <w:pPr>
              <w:pStyle w:val="InformationBlockfillin"/>
              <w:tabs>
                <w:tab w:val="left" w:pos="425"/>
                <w:tab w:val="left" w:pos="8280"/>
                <w:tab w:val="left" w:pos="9180"/>
              </w:tabs>
              <w:spacing w:line="300" w:lineRule="exact"/>
              <w:rPr>
                <w:rFonts w:cs="Arial"/>
                <w:iCs/>
                <w:kern w:val="36"/>
                <w:lang w:eastAsia="en-AU"/>
              </w:rPr>
            </w:pPr>
            <w:r>
              <w:t>P22/332</w:t>
            </w:r>
          </w:p>
        </w:tc>
      </w:tr>
      <w:tr w:rsidR="00CC7075" w:rsidRPr="00040B14" w14:paraId="148E0976" w14:textId="77777777" w:rsidTr="00064136">
        <w:tblPrEx>
          <w:tblBorders>
            <w:top w:val="none" w:sz="0" w:space="0" w:color="auto"/>
            <w:left w:val="none" w:sz="0" w:space="0" w:color="auto"/>
            <w:right w:val="none" w:sz="0" w:space="0" w:color="auto"/>
            <w:insideH w:val="none" w:sz="0" w:space="0" w:color="auto"/>
            <w:insideV w:val="none" w:sz="0" w:space="0" w:color="auto"/>
          </w:tblBorders>
        </w:tblPrEx>
        <w:tc>
          <w:tcPr>
            <w:tcW w:w="2628" w:type="dxa"/>
            <w:tcBorders>
              <w:top w:val="nil"/>
            </w:tcBorders>
          </w:tcPr>
          <w:p w14:paraId="4CB432A4" w14:textId="77777777" w:rsidR="00CC7075" w:rsidRDefault="00CC7075" w:rsidP="00064136">
            <w:pPr>
              <w:pStyle w:val="InformationBlockfillin"/>
              <w:tabs>
                <w:tab w:val="left" w:pos="425"/>
                <w:tab w:val="left" w:pos="1800"/>
                <w:tab w:val="left" w:pos="5040"/>
                <w:tab w:val="left" w:pos="8280"/>
                <w:tab w:val="left" w:pos="9180"/>
              </w:tabs>
              <w:spacing w:line="300" w:lineRule="exact"/>
              <w:rPr>
                <w:rStyle w:val="InformationBlockChar"/>
              </w:rPr>
            </w:pPr>
            <w:r>
              <w:rPr>
                <w:rStyle w:val="InformationBlockChar"/>
              </w:rPr>
              <w:t>Overarching Policy:</w:t>
            </w:r>
          </w:p>
        </w:tc>
        <w:tc>
          <w:tcPr>
            <w:tcW w:w="7200" w:type="dxa"/>
            <w:gridSpan w:val="2"/>
            <w:tcBorders>
              <w:top w:val="nil"/>
              <w:bottom w:val="nil"/>
            </w:tcBorders>
            <w:shd w:val="clear" w:color="auto" w:fill="auto"/>
            <w:vAlign w:val="center"/>
          </w:tcPr>
          <w:p w14:paraId="38078BE1" w14:textId="77777777" w:rsidR="00CC7075" w:rsidRDefault="00000000" w:rsidP="00CC7075">
            <w:pPr>
              <w:pStyle w:val="InformationBlockfillin"/>
              <w:tabs>
                <w:tab w:val="left" w:pos="425"/>
                <w:tab w:val="left" w:pos="8280"/>
                <w:tab w:val="left" w:pos="9180"/>
              </w:tabs>
              <w:spacing w:line="300" w:lineRule="exact"/>
            </w:pPr>
            <w:fldSimple w:instr=" DOCPROPERTY  OverarchingPolicy  \* MERGEFORMAT ">
              <w:r w:rsidR="006A25E8">
                <w:t>Research Governance Policy Framework</w:t>
              </w:r>
            </w:fldSimple>
          </w:p>
        </w:tc>
      </w:tr>
      <w:tr w:rsidR="00E827B4" w:rsidRPr="00040B14" w14:paraId="1A916B3B" w14:textId="77777777" w:rsidTr="00064136">
        <w:tblPrEx>
          <w:tblBorders>
            <w:top w:val="none" w:sz="0" w:space="0" w:color="auto"/>
            <w:left w:val="none" w:sz="0" w:space="0" w:color="auto"/>
            <w:right w:val="none" w:sz="0" w:space="0" w:color="auto"/>
            <w:insideH w:val="none" w:sz="0" w:space="0" w:color="auto"/>
            <w:insideV w:val="none" w:sz="0" w:space="0" w:color="auto"/>
          </w:tblBorders>
        </w:tblPrEx>
        <w:tc>
          <w:tcPr>
            <w:tcW w:w="2628" w:type="dxa"/>
            <w:tcBorders>
              <w:top w:val="nil"/>
            </w:tcBorders>
          </w:tcPr>
          <w:p w14:paraId="280DBBBA" w14:textId="77777777" w:rsidR="00E827B4" w:rsidRPr="00040B14" w:rsidRDefault="002E41FE" w:rsidP="00064136">
            <w:pPr>
              <w:pStyle w:val="InformationBlockfillin"/>
              <w:tabs>
                <w:tab w:val="left" w:pos="425"/>
                <w:tab w:val="left" w:pos="1800"/>
                <w:tab w:val="left" w:pos="5040"/>
                <w:tab w:val="left" w:pos="8280"/>
                <w:tab w:val="left" w:pos="9180"/>
              </w:tabs>
              <w:spacing w:line="300" w:lineRule="exact"/>
              <w:rPr>
                <w:rStyle w:val="InformationBlockChar"/>
              </w:rPr>
            </w:pPr>
            <w:r>
              <w:rPr>
                <w:rStyle w:val="InformationBlockChar"/>
              </w:rPr>
              <w:t>Effective From</w:t>
            </w:r>
            <w:r w:rsidR="00272CDD">
              <w:rPr>
                <w:rStyle w:val="InformationBlockChar"/>
              </w:rPr>
              <w:t>:</w:t>
            </w:r>
          </w:p>
        </w:tc>
        <w:tc>
          <w:tcPr>
            <w:tcW w:w="7200" w:type="dxa"/>
            <w:gridSpan w:val="2"/>
            <w:tcBorders>
              <w:top w:val="nil"/>
              <w:bottom w:val="nil"/>
            </w:tcBorders>
            <w:shd w:val="clear" w:color="auto" w:fill="auto"/>
            <w:vAlign w:val="center"/>
          </w:tcPr>
          <w:p w14:paraId="31E78977" w14:textId="744CD8FE" w:rsidR="00E827B4" w:rsidRPr="00064136" w:rsidRDefault="0091137B" w:rsidP="00064136">
            <w:pPr>
              <w:pStyle w:val="InformationBlockfillin"/>
              <w:tabs>
                <w:tab w:val="left" w:pos="425"/>
                <w:tab w:val="left" w:pos="8280"/>
                <w:tab w:val="left" w:pos="9180"/>
              </w:tabs>
              <w:spacing w:line="300" w:lineRule="exact"/>
              <w:rPr>
                <w:rFonts w:cs="Arial"/>
                <w:iCs/>
                <w:kern w:val="36"/>
                <w:lang w:eastAsia="en-AU"/>
              </w:rPr>
            </w:pPr>
            <w:r>
              <w:t>1</w:t>
            </w:r>
            <w:r w:rsidR="005802AE">
              <w:t>2</w:t>
            </w:r>
            <w:r>
              <w:t xml:space="preserve"> October 2022</w:t>
            </w:r>
          </w:p>
        </w:tc>
      </w:tr>
      <w:tr w:rsidR="00272CDD" w:rsidRPr="00064136" w14:paraId="7B5B9806" w14:textId="77777777" w:rsidTr="00272CDD">
        <w:tblPrEx>
          <w:tblBorders>
            <w:top w:val="none" w:sz="0" w:space="0" w:color="auto"/>
            <w:left w:val="none" w:sz="0" w:space="0" w:color="auto"/>
            <w:right w:val="none" w:sz="0" w:space="0" w:color="auto"/>
            <w:insideH w:val="none" w:sz="0" w:space="0" w:color="auto"/>
            <w:insideV w:val="none" w:sz="0" w:space="0" w:color="auto"/>
          </w:tblBorders>
        </w:tblPrEx>
        <w:tc>
          <w:tcPr>
            <w:tcW w:w="2628" w:type="dxa"/>
            <w:tcBorders>
              <w:top w:val="nil"/>
              <w:bottom w:val="nil"/>
            </w:tcBorders>
          </w:tcPr>
          <w:p w14:paraId="57CB7778" w14:textId="77777777" w:rsidR="00272CDD" w:rsidRPr="00040B14" w:rsidRDefault="00272CDD" w:rsidP="00272CDD">
            <w:pPr>
              <w:pStyle w:val="InformationBlockfillin"/>
              <w:tabs>
                <w:tab w:val="left" w:pos="425"/>
                <w:tab w:val="left" w:pos="1800"/>
                <w:tab w:val="left" w:pos="5040"/>
                <w:tab w:val="left" w:pos="8280"/>
                <w:tab w:val="left" w:pos="9180"/>
              </w:tabs>
              <w:spacing w:line="300" w:lineRule="exact"/>
              <w:rPr>
                <w:rStyle w:val="InformationBlockChar"/>
              </w:rPr>
            </w:pPr>
            <w:r w:rsidRPr="00040B14">
              <w:rPr>
                <w:rStyle w:val="InformationBlockChar"/>
              </w:rPr>
              <w:t>Replaces</w:t>
            </w:r>
            <w:r>
              <w:rPr>
                <w:rStyle w:val="InformationBlockChar"/>
              </w:rPr>
              <w:t xml:space="preserve"> Doc. No:</w:t>
            </w:r>
          </w:p>
        </w:tc>
        <w:tc>
          <w:tcPr>
            <w:tcW w:w="7200" w:type="dxa"/>
            <w:gridSpan w:val="2"/>
            <w:tcBorders>
              <w:top w:val="nil"/>
              <w:bottom w:val="nil"/>
            </w:tcBorders>
            <w:shd w:val="clear" w:color="auto" w:fill="auto"/>
            <w:vAlign w:val="center"/>
          </w:tcPr>
          <w:p w14:paraId="33B329E9" w14:textId="77777777" w:rsidR="00272CDD" w:rsidRPr="00064136" w:rsidRDefault="00000000" w:rsidP="00272CDD">
            <w:pPr>
              <w:pStyle w:val="InformationBlockfillin"/>
              <w:tabs>
                <w:tab w:val="left" w:pos="425"/>
                <w:tab w:val="left" w:pos="8280"/>
                <w:tab w:val="left" w:pos="9180"/>
              </w:tabs>
              <w:spacing w:line="300" w:lineRule="exact"/>
              <w:rPr>
                <w:rFonts w:cs="Arial"/>
                <w:iCs/>
                <w:kern w:val="36"/>
                <w:lang w:eastAsia="en-AU"/>
              </w:rPr>
            </w:pPr>
            <w:fldSimple w:instr=" DOCPROPERTY  Replaces  \* MERGEFORMAT ">
              <w:r w:rsidR="006A25E8" w:rsidRPr="006A25E8">
                <w:rPr>
                  <w:rFonts w:cs="Arial"/>
                  <w:iCs/>
                  <w:kern w:val="36"/>
                  <w:lang w:eastAsia="en-AU"/>
                </w:rPr>
                <w:t>N/A</w:t>
              </w:r>
            </w:fldSimple>
          </w:p>
        </w:tc>
      </w:tr>
      <w:tr w:rsidR="00272CDD" w:rsidRPr="00040B14" w14:paraId="5C224BA6" w14:textId="77777777" w:rsidTr="00272CDD">
        <w:tblPrEx>
          <w:tblBorders>
            <w:top w:val="none" w:sz="0" w:space="0" w:color="auto"/>
            <w:left w:val="none" w:sz="0" w:space="0" w:color="auto"/>
            <w:right w:val="none" w:sz="0" w:space="0" w:color="auto"/>
            <w:insideH w:val="none" w:sz="0" w:space="0" w:color="auto"/>
            <w:insideV w:val="none" w:sz="0" w:space="0" w:color="auto"/>
          </w:tblBorders>
        </w:tblPrEx>
        <w:tc>
          <w:tcPr>
            <w:tcW w:w="2628" w:type="dxa"/>
            <w:tcBorders>
              <w:top w:val="nil"/>
            </w:tcBorders>
          </w:tcPr>
          <w:p w14:paraId="03E409DB" w14:textId="77777777" w:rsidR="00272CDD" w:rsidRPr="00040B14" w:rsidRDefault="00272CDD" w:rsidP="00272CDD">
            <w:pPr>
              <w:pStyle w:val="InformationBlockfillin"/>
              <w:tabs>
                <w:tab w:val="left" w:pos="425"/>
                <w:tab w:val="left" w:pos="1800"/>
                <w:tab w:val="left" w:pos="5040"/>
                <w:tab w:val="left" w:pos="8280"/>
                <w:tab w:val="left" w:pos="9180"/>
              </w:tabs>
              <w:spacing w:line="300" w:lineRule="exact"/>
              <w:rPr>
                <w:rStyle w:val="InformationBlockChar"/>
              </w:rPr>
            </w:pPr>
            <w:r>
              <w:rPr>
                <w:rStyle w:val="InformationBlockChar"/>
              </w:rPr>
              <w:t>Custodian and Review Responsibility:</w:t>
            </w:r>
          </w:p>
        </w:tc>
        <w:tc>
          <w:tcPr>
            <w:tcW w:w="7200" w:type="dxa"/>
            <w:gridSpan w:val="2"/>
            <w:tcBorders>
              <w:top w:val="nil"/>
              <w:bottom w:val="nil"/>
            </w:tcBorders>
            <w:shd w:val="clear" w:color="auto" w:fill="auto"/>
            <w:vAlign w:val="center"/>
          </w:tcPr>
          <w:p w14:paraId="5E5ACAC8" w14:textId="6F3150F1" w:rsidR="00272CDD" w:rsidRPr="00064136" w:rsidRDefault="005B760C" w:rsidP="00272CDD">
            <w:pPr>
              <w:pStyle w:val="InformationBlockfillin"/>
              <w:tabs>
                <w:tab w:val="left" w:pos="425"/>
                <w:tab w:val="left" w:pos="8280"/>
                <w:tab w:val="left" w:pos="9180"/>
              </w:tabs>
              <w:spacing w:line="300" w:lineRule="exact"/>
              <w:rPr>
                <w:rFonts w:cs="Arial"/>
                <w:iCs/>
                <w:kern w:val="36"/>
                <w:lang w:eastAsia="en-AU"/>
              </w:rPr>
            </w:pPr>
            <w:r>
              <w:t>Clinical Quality Regulation and Accreditation (CQRA)</w:t>
            </w:r>
          </w:p>
        </w:tc>
      </w:tr>
      <w:tr w:rsidR="00272CDD" w:rsidRPr="00064136" w14:paraId="0FA548BD" w14:textId="77777777" w:rsidTr="00272CDD">
        <w:tblPrEx>
          <w:tblBorders>
            <w:top w:val="none" w:sz="0" w:space="0" w:color="auto"/>
            <w:left w:val="none" w:sz="0" w:space="0" w:color="auto"/>
            <w:right w:val="none" w:sz="0" w:space="0" w:color="auto"/>
            <w:insideH w:val="none" w:sz="0" w:space="0" w:color="auto"/>
            <w:insideV w:val="none" w:sz="0" w:space="0" w:color="auto"/>
          </w:tblBorders>
        </w:tblPrEx>
        <w:tc>
          <w:tcPr>
            <w:tcW w:w="2628" w:type="dxa"/>
            <w:tcBorders>
              <w:top w:val="nil"/>
              <w:bottom w:val="nil"/>
            </w:tcBorders>
          </w:tcPr>
          <w:p w14:paraId="2ABCF5D9" w14:textId="77777777" w:rsidR="00272CDD" w:rsidRPr="00040B14" w:rsidRDefault="00272CDD" w:rsidP="00272CDD">
            <w:pPr>
              <w:pStyle w:val="InformationBlockfillin"/>
              <w:tabs>
                <w:tab w:val="left" w:pos="425"/>
                <w:tab w:val="left" w:pos="1800"/>
                <w:tab w:val="left" w:pos="5040"/>
                <w:tab w:val="left" w:pos="8280"/>
                <w:tab w:val="left" w:pos="9180"/>
              </w:tabs>
              <w:spacing w:line="300" w:lineRule="exact"/>
              <w:rPr>
                <w:rStyle w:val="InformationBlockChar"/>
              </w:rPr>
            </w:pPr>
            <w:r>
              <w:rPr>
                <w:rStyle w:val="InformationBlockChar"/>
              </w:rPr>
              <w:t>Contact:</w:t>
            </w:r>
          </w:p>
        </w:tc>
        <w:tc>
          <w:tcPr>
            <w:tcW w:w="7200" w:type="dxa"/>
            <w:gridSpan w:val="2"/>
            <w:tcBorders>
              <w:top w:val="nil"/>
              <w:bottom w:val="nil"/>
            </w:tcBorders>
            <w:shd w:val="clear" w:color="auto" w:fill="auto"/>
            <w:vAlign w:val="center"/>
          </w:tcPr>
          <w:p w14:paraId="2E3057CE" w14:textId="77777777" w:rsidR="00272CDD" w:rsidRPr="00064136" w:rsidRDefault="00000000" w:rsidP="00272CDD">
            <w:pPr>
              <w:pStyle w:val="InformationBlockfillin"/>
              <w:tabs>
                <w:tab w:val="left" w:pos="425"/>
                <w:tab w:val="left" w:pos="8280"/>
                <w:tab w:val="left" w:pos="9180"/>
              </w:tabs>
              <w:spacing w:line="300" w:lineRule="exact"/>
              <w:rPr>
                <w:rFonts w:cs="Arial"/>
                <w:iCs/>
                <w:kern w:val="36"/>
                <w:lang w:eastAsia="en-AU"/>
              </w:rPr>
            </w:pPr>
            <w:r>
              <w:fldChar w:fldCharType="begin"/>
            </w:r>
            <w:r>
              <w:instrText xml:space="preserve"> DOCPROPERTY  CustodianName  \* MERGEFORMAT </w:instrText>
            </w:r>
            <w:r>
              <w:fldChar w:fldCharType="separate"/>
            </w:r>
            <w:r w:rsidR="006A25E8" w:rsidRPr="006A25E8">
              <w:rPr>
                <w:rFonts w:cs="Arial"/>
                <w:iCs/>
                <w:kern w:val="36"/>
                <w:lang w:eastAsia="en-AU"/>
              </w:rPr>
              <w:t xml:space="preserve">Dr </w:t>
            </w:r>
            <w:r w:rsidR="006A25E8">
              <w:t xml:space="preserve">Jodi </w:t>
            </w:r>
            <w:proofErr w:type="spellStart"/>
            <w:r w:rsidR="006A25E8">
              <w:t>Glading</w:t>
            </w:r>
            <w:proofErr w:type="spellEnd"/>
            <w:r>
              <w:fldChar w:fldCharType="end"/>
            </w:r>
            <w:r w:rsidR="00B3258F">
              <w:t xml:space="preserve"> </w:t>
            </w:r>
            <w:fldSimple w:instr=" DOCPROPERTY  CustodianPositionTitle  \* MERGEFORMAT ">
              <w:r w:rsidR="006A25E8" w:rsidRPr="006A25E8">
                <w:rPr>
                  <w:rFonts w:cs="Arial"/>
                  <w:iCs/>
                  <w:kern w:val="36"/>
                  <w:lang w:eastAsia="en-AU"/>
                </w:rPr>
                <w:t>Deputy Chief</w:t>
              </w:r>
              <w:r w:rsidR="006A25E8">
                <w:t xml:space="preserve"> Medical Officer </w:t>
              </w:r>
            </w:fldSimple>
          </w:p>
        </w:tc>
      </w:tr>
      <w:tr w:rsidR="00272CDD" w:rsidRPr="00040B14" w14:paraId="7FD8485F" w14:textId="77777777" w:rsidTr="00272CDD">
        <w:tblPrEx>
          <w:tblBorders>
            <w:top w:val="none" w:sz="0" w:space="0" w:color="auto"/>
            <w:left w:val="none" w:sz="0" w:space="0" w:color="auto"/>
            <w:right w:val="none" w:sz="0" w:space="0" w:color="auto"/>
            <w:insideH w:val="none" w:sz="0" w:space="0" w:color="auto"/>
            <w:insideV w:val="none" w:sz="0" w:space="0" w:color="auto"/>
          </w:tblBorders>
        </w:tblPrEx>
        <w:tc>
          <w:tcPr>
            <w:tcW w:w="2628" w:type="dxa"/>
            <w:tcBorders>
              <w:top w:val="nil"/>
            </w:tcBorders>
          </w:tcPr>
          <w:p w14:paraId="52E43866" w14:textId="77777777" w:rsidR="00272CDD" w:rsidRPr="00040B14" w:rsidRDefault="00272CDD" w:rsidP="00272CDD">
            <w:pPr>
              <w:pStyle w:val="InformationBlockfillin"/>
              <w:tabs>
                <w:tab w:val="left" w:pos="425"/>
                <w:tab w:val="left" w:pos="1800"/>
                <w:tab w:val="left" w:pos="5040"/>
                <w:tab w:val="left" w:pos="8280"/>
                <w:tab w:val="left" w:pos="9180"/>
              </w:tabs>
              <w:spacing w:line="300" w:lineRule="exact"/>
              <w:rPr>
                <w:rStyle w:val="InformationBlockChar"/>
              </w:rPr>
            </w:pPr>
            <w:r>
              <w:rPr>
                <w:rStyle w:val="InformationBlockChar"/>
              </w:rPr>
              <w:t>Applies to:</w:t>
            </w:r>
          </w:p>
        </w:tc>
        <w:tc>
          <w:tcPr>
            <w:tcW w:w="7200" w:type="dxa"/>
            <w:gridSpan w:val="2"/>
            <w:tcBorders>
              <w:top w:val="nil"/>
              <w:bottom w:val="nil"/>
            </w:tcBorders>
            <w:shd w:val="clear" w:color="auto" w:fill="auto"/>
            <w:vAlign w:val="center"/>
          </w:tcPr>
          <w:p w14:paraId="185494AC" w14:textId="77777777" w:rsidR="00272CDD" w:rsidRPr="00064136" w:rsidRDefault="00000000" w:rsidP="00272CDD">
            <w:pPr>
              <w:pStyle w:val="InformationBlockfillin"/>
              <w:tabs>
                <w:tab w:val="left" w:pos="425"/>
                <w:tab w:val="left" w:pos="8280"/>
                <w:tab w:val="left" w:pos="9180"/>
              </w:tabs>
              <w:spacing w:line="300" w:lineRule="exact"/>
              <w:rPr>
                <w:rFonts w:cs="Arial"/>
                <w:iCs/>
                <w:kern w:val="36"/>
                <w:lang w:eastAsia="en-AU"/>
              </w:rPr>
            </w:pPr>
            <w:fldSimple w:instr=" DOCPROPERTY  AppliesTo  \* MERGEFORMAT ">
              <w:r w:rsidR="006A25E8" w:rsidRPr="006A25E8">
                <w:rPr>
                  <w:rFonts w:cs="Arial"/>
                  <w:iCs/>
                  <w:kern w:val="36"/>
                  <w:lang w:eastAsia="en-AU"/>
                </w:rPr>
                <w:t>All Staff</w:t>
              </w:r>
            </w:fldSimple>
          </w:p>
        </w:tc>
      </w:tr>
      <w:tr w:rsidR="003B40A8" w:rsidRPr="00040B14" w14:paraId="2A030D76" w14:textId="77777777" w:rsidTr="003B40A8">
        <w:tblPrEx>
          <w:tblBorders>
            <w:top w:val="none" w:sz="0" w:space="0" w:color="auto"/>
            <w:left w:val="none" w:sz="0" w:space="0" w:color="auto"/>
            <w:right w:val="none" w:sz="0" w:space="0" w:color="auto"/>
            <w:insideH w:val="none" w:sz="0" w:space="0" w:color="auto"/>
            <w:insideV w:val="none" w:sz="0" w:space="0" w:color="auto"/>
          </w:tblBorders>
        </w:tblPrEx>
        <w:tc>
          <w:tcPr>
            <w:tcW w:w="2628" w:type="dxa"/>
            <w:tcBorders>
              <w:top w:val="nil"/>
              <w:bottom w:val="nil"/>
            </w:tcBorders>
          </w:tcPr>
          <w:p w14:paraId="275D6611" w14:textId="77777777" w:rsidR="003B40A8" w:rsidRPr="00040B14" w:rsidRDefault="003B40A8" w:rsidP="003B40A8">
            <w:pPr>
              <w:pStyle w:val="InformationBlockfillin"/>
              <w:tabs>
                <w:tab w:val="left" w:pos="425"/>
                <w:tab w:val="left" w:pos="1800"/>
                <w:tab w:val="left" w:pos="5040"/>
                <w:tab w:val="left" w:pos="8280"/>
                <w:tab w:val="left" w:pos="9180"/>
              </w:tabs>
              <w:spacing w:line="300" w:lineRule="exact"/>
              <w:rPr>
                <w:rStyle w:val="InformationBlockChar"/>
              </w:rPr>
            </w:pPr>
            <w:r>
              <w:rPr>
                <w:rStyle w:val="InformationBlockChar"/>
              </w:rPr>
              <w:t>Review Date:</w:t>
            </w:r>
          </w:p>
        </w:tc>
        <w:tc>
          <w:tcPr>
            <w:tcW w:w="7200" w:type="dxa"/>
            <w:gridSpan w:val="2"/>
            <w:tcBorders>
              <w:top w:val="nil"/>
              <w:bottom w:val="nil"/>
            </w:tcBorders>
            <w:shd w:val="clear" w:color="auto" w:fill="auto"/>
            <w:vAlign w:val="center"/>
          </w:tcPr>
          <w:p w14:paraId="45214FE6" w14:textId="432D7BBE" w:rsidR="003B40A8" w:rsidRPr="00064136" w:rsidRDefault="00000000" w:rsidP="003B40A8">
            <w:pPr>
              <w:pStyle w:val="InformationBlockfillin"/>
              <w:tabs>
                <w:tab w:val="left" w:pos="425"/>
                <w:tab w:val="left" w:pos="8280"/>
                <w:tab w:val="left" w:pos="9180"/>
              </w:tabs>
              <w:spacing w:line="300" w:lineRule="exact"/>
              <w:rPr>
                <w:rFonts w:cs="Arial"/>
                <w:iCs/>
                <w:kern w:val="36"/>
                <w:lang w:eastAsia="en-AU"/>
              </w:rPr>
            </w:pPr>
            <w:fldSimple w:instr=" DOCPROPERTY  ReviewDate  \* MERGEFORMAT ">
              <w:r w:rsidR="00005AEF" w:rsidRPr="006A25E8">
                <w:rPr>
                  <w:rFonts w:cs="Arial"/>
                  <w:iCs/>
                  <w:kern w:val="36"/>
                  <w:lang w:eastAsia="en-AU"/>
                </w:rPr>
                <w:t>1</w:t>
              </w:r>
              <w:r w:rsidR="005802AE">
                <w:rPr>
                  <w:rFonts w:cs="Arial"/>
                  <w:iCs/>
                  <w:kern w:val="36"/>
                  <w:lang w:eastAsia="en-AU"/>
                </w:rPr>
                <w:t>2</w:t>
              </w:r>
              <w:r w:rsidR="00005AEF">
                <w:rPr>
                  <w:rFonts w:cs="Arial"/>
                  <w:iCs/>
                  <w:kern w:val="36"/>
                  <w:lang w:eastAsia="en-AU"/>
                </w:rPr>
                <w:t xml:space="preserve"> October</w:t>
              </w:r>
              <w:r w:rsidR="00005AEF" w:rsidRPr="006A25E8">
                <w:rPr>
                  <w:rFonts w:cs="Arial"/>
                  <w:iCs/>
                  <w:kern w:val="36"/>
                  <w:lang w:eastAsia="en-AU"/>
                </w:rPr>
                <w:t xml:space="preserve"> 2024</w:t>
              </w:r>
            </w:fldSimple>
          </w:p>
        </w:tc>
      </w:tr>
      <w:tr w:rsidR="003B40A8" w:rsidRPr="00040B14" w14:paraId="6DFC221B" w14:textId="77777777" w:rsidTr="00731546">
        <w:tblPrEx>
          <w:tblBorders>
            <w:top w:val="none" w:sz="0" w:space="0" w:color="auto"/>
            <w:left w:val="none" w:sz="0" w:space="0" w:color="auto"/>
            <w:right w:val="none" w:sz="0" w:space="0" w:color="auto"/>
            <w:insideH w:val="none" w:sz="0" w:space="0" w:color="auto"/>
            <w:insideV w:val="none" w:sz="0" w:space="0" w:color="auto"/>
          </w:tblBorders>
        </w:tblPrEx>
        <w:tc>
          <w:tcPr>
            <w:tcW w:w="2628" w:type="dxa"/>
            <w:tcBorders>
              <w:top w:val="nil"/>
            </w:tcBorders>
          </w:tcPr>
          <w:p w14:paraId="522838B7" w14:textId="77777777" w:rsidR="003B40A8" w:rsidRPr="00040B14" w:rsidRDefault="003B40A8" w:rsidP="003B40A8">
            <w:pPr>
              <w:pStyle w:val="InformationBlockfillin"/>
              <w:tabs>
                <w:tab w:val="left" w:pos="425"/>
                <w:tab w:val="left" w:pos="1800"/>
                <w:tab w:val="left" w:pos="5040"/>
                <w:tab w:val="left" w:pos="8280"/>
                <w:tab w:val="left" w:pos="9180"/>
              </w:tabs>
              <w:spacing w:line="300" w:lineRule="exact"/>
              <w:rPr>
                <w:rStyle w:val="InformationBlockChar"/>
              </w:rPr>
            </w:pPr>
            <w:r>
              <w:rPr>
                <w:rStyle w:val="InformationBlockChar"/>
              </w:rPr>
              <w:t>Key Words:</w:t>
            </w:r>
          </w:p>
        </w:tc>
        <w:tc>
          <w:tcPr>
            <w:tcW w:w="7200" w:type="dxa"/>
            <w:gridSpan w:val="2"/>
            <w:tcBorders>
              <w:top w:val="nil"/>
              <w:bottom w:val="nil"/>
            </w:tcBorders>
            <w:shd w:val="clear" w:color="auto" w:fill="auto"/>
            <w:vAlign w:val="center"/>
          </w:tcPr>
          <w:p w14:paraId="6C149DF1" w14:textId="78EE8CD0" w:rsidR="003B40A8" w:rsidRPr="00064136" w:rsidRDefault="00000000" w:rsidP="003B40A8">
            <w:pPr>
              <w:pStyle w:val="InformationBlockfillin"/>
              <w:tabs>
                <w:tab w:val="left" w:pos="425"/>
                <w:tab w:val="left" w:pos="8280"/>
                <w:tab w:val="left" w:pos="9180"/>
              </w:tabs>
              <w:spacing w:line="300" w:lineRule="exact"/>
              <w:rPr>
                <w:rFonts w:cs="Arial"/>
                <w:iCs/>
                <w:kern w:val="36"/>
                <w:lang w:eastAsia="en-AU"/>
              </w:rPr>
            </w:pPr>
            <w:fldSimple w:instr=" DOCPROPERTY  Summary  \* MERGEFORMAT ">
              <w:r w:rsidR="006A25E8" w:rsidRPr="006A25E8">
                <w:rPr>
                  <w:rFonts w:cs="Arial"/>
                  <w:iCs/>
                  <w:kern w:val="36"/>
                  <w:lang w:eastAsia="en-AU"/>
                </w:rPr>
                <w:t xml:space="preserve">Research Governance, Ethics, </w:t>
              </w:r>
              <w:r w:rsidR="005B760C">
                <w:rPr>
                  <w:rFonts w:cs="Arial"/>
                  <w:iCs/>
                  <w:kern w:val="36"/>
                  <w:lang w:eastAsia="en-AU"/>
                </w:rPr>
                <w:t xml:space="preserve">Governance, Research Governance, </w:t>
              </w:r>
              <w:r w:rsidR="006A25E8" w:rsidRPr="006A25E8">
                <w:rPr>
                  <w:rFonts w:cs="Arial"/>
                  <w:iCs/>
                  <w:kern w:val="36"/>
                  <w:lang w:eastAsia="en-AU"/>
                </w:rPr>
                <w:t xml:space="preserve">Human </w:t>
              </w:r>
              <w:r w:rsidR="005B760C" w:rsidRPr="006A25E8">
                <w:rPr>
                  <w:rFonts w:cs="Arial"/>
                  <w:iCs/>
                  <w:kern w:val="36"/>
                  <w:lang w:eastAsia="en-AU"/>
                </w:rPr>
                <w:t>Research</w:t>
              </w:r>
              <w:r w:rsidR="006A25E8" w:rsidRPr="006A25E8">
                <w:rPr>
                  <w:rFonts w:cs="Arial"/>
                  <w:iCs/>
                  <w:kern w:val="36"/>
                  <w:lang w:eastAsia="en-AU"/>
                </w:rPr>
                <w:t xml:space="preserve"> Ethics Committee, HREC, Low Risk</w:t>
              </w:r>
              <w:r w:rsidR="006A25E8">
                <w:t xml:space="preserve">, Quality Assurance, Quality Improvement, Audit, </w:t>
              </w:r>
              <w:r w:rsidR="005B760C">
                <w:t xml:space="preserve">Evaluation, </w:t>
              </w:r>
              <w:r w:rsidR="006A25E8">
                <w:t xml:space="preserve">Ethics Exemption </w:t>
              </w:r>
            </w:fldSimple>
          </w:p>
        </w:tc>
      </w:tr>
      <w:tr w:rsidR="003B40A8" w:rsidRPr="00040B14" w14:paraId="1941A2A3" w14:textId="77777777" w:rsidTr="00731546">
        <w:tblPrEx>
          <w:tblBorders>
            <w:top w:val="none" w:sz="0" w:space="0" w:color="auto"/>
            <w:left w:val="none" w:sz="0" w:space="0" w:color="auto"/>
            <w:right w:val="none" w:sz="0" w:space="0" w:color="auto"/>
            <w:insideH w:val="none" w:sz="0" w:space="0" w:color="auto"/>
            <w:insideV w:val="none" w:sz="0" w:space="0" w:color="auto"/>
          </w:tblBorders>
        </w:tblPrEx>
        <w:tc>
          <w:tcPr>
            <w:tcW w:w="2628" w:type="dxa"/>
            <w:tcBorders>
              <w:top w:val="nil"/>
            </w:tcBorders>
          </w:tcPr>
          <w:p w14:paraId="7CB553E0" w14:textId="77777777" w:rsidR="003B40A8" w:rsidRDefault="003B40A8" w:rsidP="00064136">
            <w:pPr>
              <w:pStyle w:val="InformationBlockfillin"/>
              <w:tabs>
                <w:tab w:val="left" w:pos="425"/>
                <w:tab w:val="left" w:pos="1800"/>
                <w:tab w:val="left" w:pos="5040"/>
                <w:tab w:val="left" w:pos="8280"/>
                <w:tab w:val="left" w:pos="9180"/>
              </w:tabs>
              <w:spacing w:line="300" w:lineRule="exact"/>
              <w:rPr>
                <w:rStyle w:val="InformationBlockChar"/>
              </w:rPr>
            </w:pPr>
            <w:r>
              <w:rPr>
                <w:rStyle w:val="InformationBlockChar"/>
              </w:rPr>
              <w:t>Routine Disclosure:</w:t>
            </w:r>
          </w:p>
        </w:tc>
        <w:tc>
          <w:tcPr>
            <w:tcW w:w="7200" w:type="dxa"/>
            <w:gridSpan w:val="2"/>
            <w:tcBorders>
              <w:top w:val="nil"/>
              <w:bottom w:val="single" w:sz="4" w:space="0" w:color="auto"/>
            </w:tcBorders>
            <w:shd w:val="clear" w:color="auto" w:fill="auto"/>
            <w:vAlign w:val="center"/>
          </w:tcPr>
          <w:p w14:paraId="535FB222" w14:textId="77777777" w:rsidR="00731546" w:rsidRDefault="006A25E8" w:rsidP="001F72EF">
            <w:pPr>
              <w:pStyle w:val="InformationBlockfillin"/>
              <w:tabs>
                <w:tab w:val="left" w:pos="425"/>
                <w:tab w:val="left" w:pos="8280"/>
                <w:tab w:val="left" w:pos="9180"/>
              </w:tabs>
              <w:spacing w:line="300" w:lineRule="exact"/>
            </w:pPr>
            <w:bookmarkStart w:id="1" w:name="bmRoutineDisclosure"/>
            <w:bookmarkEnd w:id="1"/>
            <w:r>
              <w:t>Yes</w:t>
            </w:r>
          </w:p>
        </w:tc>
      </w:tr>
    </w:tbl>
    <w:p w14:paraId="06090A5B" w14:textId="77777777" w:rsidR="00741AA8" w:rsidRDefault="00741AA8" w:rsidP="006C7F3E">
      <w:pPr>
        <w:pStyle w:val="Instructions"/>
        <w:shd w:val="clear" w:color="auto" w:fill="auto"/>
        <w:spacing w:after="40"/>
        <w:jc w:val="center"/>
        <w:rPr>
          <w:b/>
        </w:rPr>
      </w:pPr>
    </w:p>
    <w:p w14:paraId="23DEEEF2" w14:textId="77777777" w:rsidR="00731546" w:rsidRPr="00731546" w:rsidRDefault="00731546" w:rsidP="00731546">
      <w:pPr>
        <w:rPr>
          <w:b/>
          <w:lang w:eastAsia="en-AU"/>
        </w:rPr>
      </w:pPr>
      <w:r w:rsidRPr="00731546">
        <w:rPr>
          <w:b/>
          <w:lang w:eastAsia="en-AU"/>
        </w:rPr>
        <w:t>Approval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7"/>
        <w:gridCol w:w="2172"/>
        <w:gridCol w:w="2717"/>
        <w:gridCol w:w="1267"/>
        <w:gridCol w:w="2095"/>
      </w:tblGrid>
      <w:tr w:rsidR="00AE5A73" w14:paraId="17558A02" w14:textId="77777777" w:rsidTr="005F5106">
        <w:trPr>
          <w:cantSplit/>
          <w:trHeight w:val="442"/>
        </w:trPr>
        <w:tc>
          <w:tcPr>
            <w:tcW w:w="715" w:type="pct"/>
            <w:tcBorders>
              <w:top w:val="single" w:sz="4" w:space="0" w:color="auto"/>
              <w:left w:val="single" w:sz="4" w:space="0" w:color="auto"/>
              <w:bottom w:val="single" w:sz="4" w:space="0" w:color="auto"/>
              <w:right w:val="single" w:sz="4" w:space="0" w:color="auto"/>
            </w:tcBorders>
            <w:vAlign w:val="center"/>
          </w:tcPr>
          <w:p w14:paraId="3A8181FF" w14:textId="77777777" w:rsidR="00AE5A73" w:rsidRDefault="00AE5A73" w:rsidP="005F5106">
            <w:pPr>
              <w:pStyle w:val="ClearedByText"/>
            </w:pPr>
            <w:r>
              <w:t>Prepared by</w:t>
            </w:r>
          </w:p>
        </w:tc>
        <w:tc>
          <w:tcPr>
            <w:tcW w:w="1128" w:type="pct"/>
            <w:tcBorders>
              <w:top w:val="single" w:sz="4" w:space="0" w:color="auto"/>
              <w:left w:val="single" w:sz="4" w:space="0" w:color="auto"/>
              <w:bottom w:val="single" w:sz="4" w:space="0" w:color="auto"/>
              <w:right w:val="single" w:sz="4" w:space="0" w:color="auto"/>
            </w:tcBorders>
            <w:vAlign w:val="center"/>
          </w:tcPr>
          <w:p w14:paraId="1564E370" w14:textId="77777777" w:rsidR="00AE5A73" w:rsidRDefault="00000000" w:rsidP="005F5106">
            <w:pPr>
              <w:pStyle w:val="ClearedByText"/>
            </w:pPr>
            <w:fldSimple w:instr=" DOCPROPERTY  PreparedBy  \* MERGEFORMAT ">
              <w:r w:rsidR="006A25E8">
                <w:t xml:space="preserve">Tanya Harley </w:t>
              </w:r>
            </w:fldSimple>
          </w:p>
        </w:tc>
        <w:tc>
          <w:tcPr>
            <w:tcW w:w="1411" w:type="pct"/>
            <w:tcBorders>
              <w:top w:val="single" w:sz="4" w:space="0" w:color="auto"/>
              <w:left w:val="single" w:sz="4" w:space="0" w:color="auto"/>
              <w:bottom w:val="single" w:sz="4" w:space="0" w:color="auto"/>
              <w:right w:val="single" w:sz="4" w:space="0" w:color="auto"/>
            </w:tcBorders>
            <w:vAlign w:val="center"/>
          </w:tcPr>
          <w:p w14:paraId="5A760452" w14:textId="77777777" w:rsidR="00AE5A73" w:rsidRDefault="00000000" w:rsidP="005F5106">
            <w:pPr>
              <w:pStyle w:val="ClearedByText"/>
            </w:pPr>
            <w:fldSimple w:instr=" DOCPROPERTY  PreparedPositionTitle  \* MERGEFORMAT ">
              <w:r w:rsidR="006A25E8">
                <w:t xml:space="preserve">Research Governance - Project Coordinator </w:t>
              </w:r>
            </w:fldSimple>
          </w:p>
        </w:tc>
        <w:tc>
          <w:tcPr>
            <w:tcW w:w="658" w:type="pct"/>
            <w:tcBorders>
              <w:top w:val="single" w:sz="4" w:space="0" w:color="auto"/>
              <w:left w:val="single" w:sz="4" w:space="0" w:color="auto"/>
              <w:bottom w:val="single" w:sz="4" w:space="0" w:color="auto"/>
              <w:right w:val="single" w:sz="4" w:space="0" w:color="auto"/>
            </w:tcBorders>
            <w:vAlign w:val="center"/>
          </w:tcPr>
          <w:p w14:paraId="7C90A650" w14:textId="77777777" w:rsidR="00AE5A73" w:rsidRDefault="00000000" w:rsidP="005F5106">
            <w:pPr>
              <w:pStyle w:val="ClearedByText"/>
              <w:jc w:val="both"/>
            </w:pPr>
            <w:fldSimple w:instr=" DOCPROPERTY  PreparedPhone  \* MERGEFORMAT ">
              <w:r w:rsidR="006A25E8">
                <w:t>61660395</w:t>
              </w:r>
            </w:fldSimple>
          </w:p>
        </w:tc>
        <w:tc>
          <w:tcPr>
            <w:tcW w:w="1088" w:type="pct"/>
            <w:tcBorders>
              <w:top w:val="single" w:sz="4" w:space="0" w:color="auto"/>
              <w:left w:val="single" w:sz="4" w:space="0" w:color="auto"/>
              <w:bottom w:val="single" w:sz="4" w:space="0" w:color="auto"/>
              <w:right w:val="single" w:sz="4" w:space="0" w:color="auto"/>
            </w:tcBorders>
            <w:vAlign w:val="center"/>
          </w:tcPr>
          <w:p w14:paraId="544933D0" w14:textId="3E86BBE7" w:rsidR="00AE5A73" w:rsidRDefault="00000000" w:rsidP="005F5106">
            <w:pPr>
              <w:pStyle w:val="ClearedByText"/>
            </w:pPr>
            <w:fldSimple w:instr=" DOCPROPERTY  PreparedDate  \* MERGEFORMAT ">
              <w:r w:rsidR="006A25E8">
                <w:t>1 June 202</w:t>
              </w:r>
            </w:fldSimple>
            <w:r w:rsidR="001101E3">
              <w:t>1</w:t>
            </w:r>
          </w:p>
        </w:tc>
      </w:tr>
      <w:tr w:rsidR="00AE5A73" w14:paraId="182C695D" w14:textId="77777777" w:rsidTr="005F5106">
        <w:trPr>
          <w:cantSplit/>
          <w:trHeight w:val="442"/>
        </w:trPr>
        <w:tc>
          <w:tcPr>
            <w:tcW w:w="715" w:type="pct"/>
            <w:tcBorders>
              <w:top w:val="single" w:sz="4" w:space="0" w:color="auto"/>
            </w:tcBorders>
            <w:vAlign w:val="center"/>
          </w:tcPr>
          <w:p w14:paraId="479C213A" w14:textId="77777777" w:rsidR="00AE5A73" w:rsidRDefault="00AE5A73" w:rsidP="005F5106">
            <w:pPr>
              <w:pStyle w:val="ClearedByText"/>
            </w:pPr>
            <w:r>
              <w:t>Through</w:t>
            </w:r>
          </w:p>
        </w:tc>
        <w:tc>
          <w:tcPr>
            <w:tcW w:w="1128" w:type="pct"/>
            <w:tcBorders>
              <w:top w:val="single" w:sz="4" w:space="0" w:color="auto"/>
            </w:tcBorders>
            <w:vAlign w:val="center"/>
          </w:tcPr>
          <w:p w14:paraId="4BB3983E" w14:textId="77777777" w:rsidR="00AE5A73" w:rsidRDefault="00000000" w:rsidP="005F5106">
            <w:pPr>
              <w:pStyle w:val="ClearedByText"/>
            </w:pPr>
            <w:r>
              <w:fldChar w:fldCharType="begin"/>
            </w:r>
            <w:r>
              <w:instrText xml:space="preserve"> DOCPROPERTY  Through  \* MERGEFORMAT </w:instrText>
            </w:r>
            <w:r>
              <w:fldChar w:fldCharType="separate"/>
            </w:r>
            <w:r w:rsidR="006A25E8">
              <w:t xml:space="preserve">Dr Jodi </w:t>
            </w:r>
            <w:proofErr w:type="spellStart"/>
            <w:r w:rsidR="006A25E8">
              <w:t>Glading</w:t>
            </w:r>
            <w:proofErr w:type="spellEnd"/>
            <w:r>
              <w:fldChar w:fldCharType="end"/>
            </w:r>
          </w:p>
        </w:tc>
        <w:tc>
          <w:tcPr>
            <w:tcW w:w="1411" w:type="pct"/>
            <w:tcBorders>
              <w:top w:val="single" w:sz="4" w:space="0" w:color="auto"/>
            </w:tcBorders>
            <w:vAlign w:val="center"/>
          </w:tcPr>
          <w:p w14:paraId="43E46B20" w14:textId="77777777" w:rsidR="00AE5A73" w:rsidRDefault="00000000" w:rsidP="005F5106">
            <w:pPr>
              <w:pStyle w:val="ClearedByText"/>
            </w:pPr>
            <w:fldSimple w:instr=" DOCPROPERTY  ThroughPositionTitle  \* MERGEFORMAT ">
              <w:r w:rsidR="006A25E8">
                <w:t xml:space="preserve">Deputy Chief Medical Officer </w:t>
              </w:r>
            </w:fldSimple>
          </w:p>
        </w:tc>
        <w:tc>
          <w:tcPr>
            <w:tcW w:w="658" w:type="pct"/>
            <w:tcBorders>
              <w:top w:val="single" w:sz="4" w:space="0" w:color="auto"/>
            </w:tcBorders>
            <w:vAlign w:val="center"/>
          </w:tcPr>
          <w:p w14:paraId="2CEE73FB" w14:textId="77777777" w:rsidR="00AE5A73" w:rsidRDefault="00000000" w:rsidP="005F5106">
            <w:pPr>
              <w:pStyle w:val="ClearedByText"/>
            </w:pPr>
            <w:fldSimple w:instr=" DOCPROPERTY  ThroughPhone  \* MERGEFORMAT ">
              <w:r w:rsidR="006A25E8">
                <w:t>6166 0413</w:t>
              </w:r>
            </w:fldSimple>
          </w:p>
        </w:tc>
        <w:tc>
          <w:tcPr>
            <w:tcW w:w="1088" w:type="pct"/>
            <w:tcBorders>
              <w:top w:val="single" w:sz="4" w:space="0" w:color="auto"/>
            </w:tcBorders>
            <w:vAlign w:val="center"/>
          </w:tcPr>
          <w:p w14:paraId="52E4375A" w14:textId="76892D4C" w:rsidR="00AE5A73" w:rsidRDefault="00FC1089" w:rsidP="005F5106">
            <w:pPr>
              <w:pStyle w:val="ClearedByText"/>
            </w:pPr>
            <w:r>
              <w:t>12/10/2022</w:t>
            </w:r>
            <w:r w:rsidR="00A83E1F">
              <w:fldChar w:fldCharType="begin"/>
            </w:r>
            <w:r w:rsidR="00A83E1F">
              <w:instrText xml:space="preserve"> DOCPROPERTY  ThroughDate  \* MERGEFORMAT </w:instrText>
            </w:r>
            <w:r w:rsidR="00A83E1F">
              <w:fldChar w:fldCharType="end"/>
            </w:r>
          </w:p>
        </w:tc>
      </w:tr>
      <w:tr w:rsidR="00AE5A73" w14:paraId="49535C67" w14:textId="77777777" w:rsidTr="005F5106">
        <w:trPr>
          <w:cantSplit/>
          <w:trHeight w:val="442"/>
        </w:trPr>
        <w:tc>
          <w:tcPr>
            <w:tcW w:w="715" w:type="pct"/>
            <w:vAlign w:val="center"/>
          </w:tcPr>
          <w:p w14:paraId="7C55C98E" w14:textId="77777777" w:rsidR="00AE5A73" w:rsidRDefault="00AE5A73" w:rsidP="005F5106">
            <w:pPr>
              <w:pStyle w:val="ClearedByText"/>
            </w:pPr>
            <w:r>
              <w:t>Cleared by</w:t>
            </w:r>
          </w:p>
        </w:tc>
        <w:tc>
          <w:tcPr>
            <w:tcW w:w="1128" w:type="pct"/>
            <w:vAlign w:val="center"/>
          </w:tcPr>
          <w:p w14:paraId="02225A48" w14:textId="77777777" w:rsidR="00AE5A73" w:rsidRDefault="00000000" w:rsidP="005F5106">
            <w:pPr>
              <w:pStyle w:val="ClearedByText"/>
            </w:pPr>
            <w:fldSimple w:instr=" DOCPROPERTY  ClearedBy  \* MERGEFORMAT ">
              <w:r w:rsidR="006A25E8">
                <w:t>Professor Anthony Lawler</w:t>
              </w:r>
            </w:fldSimple>
          </w:p>
        </w:tc>
        <w:tc>
          <w:tcPr>
            <w:tcW w:w="1411" w:type="pct"/>
            <w:vAlign w:val="center"/>
          </w:tcPr>
          <w:p w14:paraId="7AEE1BD9" w14:textId="13DF4B32" w:rsidR="00AE5A73" w:rsidRDefault="00000000" w:rsidP="005F5106">
            <w:pPr>
              <w:pStyle w:val="ClearedByText"/>
            </w:pPr>
            <w:fldSimple w:instr=" DOCPROPERTY  ClearedPositionTitle  \* MERGEFORMAT ">
              <w:r w:rsidR="006A25E8">
                <w:t xml:space="preserve">Deputy Secretary, </w:t>
              </w:r>
              <w:r w:rsidR="00D11860">
                <w:t>Clinical</w:t>
              </w:r>
              <w:r w:rsidR="006A25E8">
                <w:t xml:space="preserve"> Quality Regulation and Accreditation </w:t>
              </w:r>
            </w:fldSimple>
            <w:r w:rsidR="002A7B25">
              <w:t>and Chief Medical Officer</w:t>
            </w:r>
          </w:p>
        </w:tc>
        <w:tc>
          <w:tcPr>
            <w:tcW w:w="658" w:type="pct"/>
            <w:vAlign w:val="center"/>
          </w:tcPr>
          <w:p w14:paraId="1BAF4DAC" w14:textId="77777777" w:rsidR="00AE5A73" w:rsidRDefault="00000000" w:rsidP="005F5106">
            <w:pPr>
              <w:pStyle w:val="ClearedByText"/>
            </w:pPr>
            <w:fldSimple w:instr=" DOCPROPERTY  ClearedPhone  \* MERGEFORMAT ">
              <w:r w:rsidR="006A25E8">
                <w:t>6166 1015</w:t>
              </w:r>
            </w:fldSimple>
          </w:p>
        </w:tc>
        <w:tc>
          <w:tcPr>
            <w:tcW w:w="1088" w:type="pct"/>
            <w:vAlign w:val="center"/>
          </w:tcPr>
          <w:p w14:paraId="2F437103" w14:textId="1A92460B" w:rsidR="00AE5A73" w:rsidRDefault="00FC1089" w:rsidP="005F5106">
            <w:pPr>
              <w:pStyle w:val="ClearedByText"/>
            </w:pPr>
            <w:r>
              <w:t>12/10/2022</w:t>
            </w:r>
            <w:r w:rsidR="00A83E1F">
              <w:fldChar w:fldCharType="begin"/>
            </w:r>
            <w:r w:rsidR="00A83E1F">
              <w:instrText xml:space="preserve"> DOCPROPERTY  ClearedDate  \* MERGEFORMAT </w:instrText>
            </w:r>
            <w:r w:rsidR="00A83E1F">
              <w:fldChar w:fldCharType="end"/>
            </w:r>
          </w:p>
        </w:tc>
      </w:tr>
    </w:tbl>
    <w:p w14:paraId="1E0CACDE" w14:textId="77777777" w:rsidR="00741AA8" w:rsidRDefault="00741AA8" w:rsidP="00741AA8">
      <w:pPr>
        <w:pStyle w:val="Instructions"/>
        <w:shd w:val="clear" w:color="auto" w:fill="auto"/>
        <w:spacing w:after="40"/>
        <w:rPr>
          <w:b/>
        </w:rPr>
      </w:pPr>
    </w:p>
    <w:p w14:paraId="67508521" w14:textId="77777777" w:rsidR="00731546" w:rsidRPr="00731546" w:rsidRDefault="00731546" w:rsidP="00731546">
      <w:pPr>
        <w:rPr>
          <w:b/>
          <w:lang w:eastAsia="en-AU"/>
        </w:rPr>
      </w:pPr>
      <w:r w:rsidRPr="00731546">
        <w:rPr>
          <w:b/>
          <w:lang w:eastAsia="en-AU"/>
        </w:rPr>
        <w:t>Revision History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7"/>
        <w:gridCol w:w="2172"/>
        <w:gridCol w:w="2717"/>
        <w:gridCol w:w="3362"/>
      </w:tblGrid>
      <w:tr w:rsidR="00731546" w:rsidRPr="00731546" w14:paraId="588C4A64" w14:textId="77777777" w:rsidTr="00731546">
        <w:trPr>
          <w:cantSplit/>
          <w:trHeight w:val="442"/>
        </w:trPr>
        <w:tc>
          <w:tcPr>
            <w:tcW w:w="715" w:type="pct"/>
            <w:tcBorders>
              <w:top w:val="single" w:sz="4" w:space="0" w:color="auto"/>
              <w:left w:val="single" w:sz="4" w:space="0" w:color="auto"/>
              <w:bottom w:val="single" w:sz="4" w:space="0" w:color="auto"/>
              <w:right w:val="single" w:sz="4" w:space="0" w:color="auto"/>
            </w:tcBorders>
            <w:vAlign w:val="center"/>
          </w:tcPr>
          <w:p w14:paraId="171043F1" w14:textId="77777777" w:rsidR="00731546" w:rsidRPr="00731546" w:rsidRDefault="00731546" w:rsidP="00127853">
            <w:pPr>
              <w:pStyle w:val="ClearedByText"/>
              <w:rPr>
                <w:b/>
              </w:rPr>
            </w:pPr>
            <w:r w:rsidRPr="00731546">
              <w:rPr>
                <w:b/>
              </w:rPr>
              <w:t>Version</w:t>
            </w:r>
          </w:p>
        </w:tc>
        <w:tc>
          <w:tcPr>
            <w:tcW w:w="1128" w:type="pct"/>
            <w:tcBorders>
              <w:top w:val="single" w:sz="4" w:space="0" w:color="auto"/>
              <w:left w:val="single" w:sz="4" w:space="0" w:color="auto"/>
              <w:bottom w:val="single" w:sz="4" w:space="0" w:color="auto"/>
              <w:right w:val="single" w:sz="4" w:space="0" w:color="auto"/>
            </w:tcBorders>
            <w:vAlign w:val="center"/>
          </w:tcPr>
          <w:p w14:paraId="660B3F2D" w14:textId="77777777" w:rsidR="00731546" w:rsidRPr="00731546" w:rsidRDefault="00731546" w:rsidP="00731546">
            <w:pPr>
              <w:pStyle w:val="ClearedByText"/>
              <w:rPr>
                <w:b/>
              </w:rPr>
            </w:pPr>
            <w:r w:rsidRPr="00731546">
              <w:rPr>
                <w:b/>
              </w:rPr>
              <w:t>Approved By Name</w:t>
            </w:r>
          </w:p>
        </w:tc>
        <w:tc>
          <w:tcPr>
            <w:tcW w:w="1411" w:type="pct"/>
            <w:tcBorders>
              <w:top w:val="single" w:sz="4" w:space="0" w:color="auto"/>
              <w:left w:val="single" w:sz="4" w:space="0" w:color="auto"/>
              <w:bottom w:val="single" w:sz="4" w:space="0" w:color="auto"/>
              <w:right w:val="single" w:sz="4" w:space="0" w:color="auto"/>
            </w:tcBorders>
            <w:vAlign w:val="center"/>
          </w:tcPr>
          <w:p w14:paraId="58839E40" w14:textId="77777777" w:rsidR="00731546" w:rsidRPr="00731546" w:rsidRDefault="00731546" w:rsidP="00127853">
            <w:pPr>
              <w:pStyle w:val="ClearedByText"/>
              <w:rPr>
                <w:b/>
              </w:rPr>
            </w:pPr>
            <w:r w:rsidRPr="00731546">
              <w:rPr>
                <w:b/>
              </w:rPr>
              <w:t>Approved By Title</w:t>
            </w:r>
          </w:p>
        </w:tc>
        <w:tc>
          <w:tcPr>
            <w:tcW w:w="1746" w:type="pct"/>
            <w:tcBorders>
              <w:top w:val="single" w:sz="4" w:space="0" w:color="auto"/>
              <w:left w:val="single" w:sz="4" w:space="0" w:color="auto"/>
              <w:bottom w:val="single" w:sz="4" w:space="0" w:color="auto"/>
              <w:right w:val="single" w:sz="4" w:space="0" w:color="auto"/>
            </w:tcBorders>
            <w:vAlign w:val="center"/>
          </w:tcPr>
          <w:p w14:paraId="4C5AF596" w14:textId="77777777" w:rsidR="00731546" w:rsidRPr="00731546" w:rsidRDefault="00731546" w:rsidP="00127853">
            <w:pPr>
              <w:pStyle w:val="ClearedByText"/>
              <w:rPr>
                <w:b/>
              </w:rPr>
            </w:pPr>
            <w:r w:rsidRPr="00731546">
              <w:rPr>
                <w:b/>
              </w:rPr>
              <w:t>Amendment Notes</w:t>
            </w:r>
          </w:p>
        </w:tc>
      </w:tr>
      <w:tr w:rsidR="00731546" w14:paraId="3065385B" w14:textId="77777777" w:rsidTr="00731546">
        <w:trPr>
          <w:cantSplit/>
          <w:trHeight w:val="442"/>
        </w:trPr>
        <w:tc>
          <w:tcPr>
            <w:tcW w:w="715" w:type="pct"/>
            <w:tcBorders>
              <w:top w:val="single" w:sz="4" w:space="0" w:color="auto"/>
            </w:tcBorders>
            <w:vAlign w:val="center"/>
          </w:tcPr>
          <w:p w14:paraId="190EC26F" w14:textId="22511412" w:rsidR="00731546" w:rsidRPr="006A25E8" w:rsidRDefault="00731546" w:rsidP="00127853">
            <w:pPr>
              <w:pStyle w:val="ClearedByText"/>
              <w:rPr>
                <w:highlight w:val="yellow"/>
              </w:rPr>
            </w:pPr>
          </w:p>
        </w:tc>
        <w:tc>
          <w:tcPr>
            <w:tcW w:w="1128" w:type="pct"/>
            <w:tcBorders>
              <w:top w:val="single" w:sz="4" w:space="0" w:color="auto"/>
            </w:tcBorders>
            <w:vAlign w:val="center"/>
          </w:tcPr>
          <w:p w14:paraId="6645E993" w14:textId="1B7BBF86" w:rsidR="00731546" w:rsidRPr="006A25E8" w:rsidRDefault="00731546" w:rsidP="00127853">
            <w:pPr>
              <w:pStyle w:val="ClearedByText"/>
              <w:rPr>
                <w:highlight w:val="yellow"/>
              </w:rPr>
            </w:pPr>
          </w:p>
        </w:tc>
        <w:tc>
          <w:tcPr>
            <w:tcW w:w="1411" w:type="pct"/>
            <w:tcBorders>
              <w:top w:val="single" w:sz="4" w:space="0" w:color="auto"/>
            </w:tcBorders>
            <w:vAlign w:val="center"/>
          </w:tcPr>
          <w:p w14:paraId="231E90A9" w14:textId="756F2801" w:rsidR="00731546" w:rsidRPr="006A25E8" w:rsidRDefault="00731546" w:rsidP="00127853">
            <w:pPr>
              <w:pStyle w:val="ClearedByText"/>
              <w:rPr>
                <w:highlight w:val="yellow"/>
              </w:rPr>
            </w:pPr>
          </w:p>
        </w:tc>
        <w:tc>
          <w:tcPr>
            <w:tcW w:w="1746" w:type="pct"/>
            <w:tcBorders>
              <w:top w:val="single" w:sz="4" w:space="0" w:color="auto"/>
            </w:tcBorders>
            <w:vAlign w:val="center"/>
          </w:tcPr>
          <w:p w14:paraId="66A05838" w14:textId="445EB4A3" w:rsidR="00731546" w:rsidRPr="006A25E8" w:rsidRDefault="00731546" w:rsidP="00127853">
            <w:pPr>
              <w:pStyle w:val="ClearedByText"/>
              <w:rPr>
                <w:highlight w:val="yellow"/>
              </w:rPr>
            </w:pPr>
          </w:p>
        </w:tc>
      </w:tr>
      <w:tr w:rsidR="00731546" w14:paraId="756136CD" w14:textId="77777777" w:rsidTr="00731546">
        <w:trPr>
          <w:cantSplit/>
          <w:trHeight w:val="442"/>
        </w:trPr>
        <w:tc>
          <w:tcPr>
            <w:tcW w:w="715" w:type="pct"/>
            <w:tcBorders>
              <w:top w:val="single" w:sz="4" w:space="0" w:color="auto"/>
            </w:tcBorders>
            <w:vAlign w:val="center"/>
          </w:tcPr>
          <w:p w14:paraId="362FD6FF" w14:textId="77777777" w:rsidR="00731546" w:rsidRDefault="00731546" w:rsidP="00127853">
            <w:pPr>
              <w:pStyle w:val="ClearedByText"/>
            </w:pPr>
          </w:p>
        </w:tc>
        <w:tc>
          <w:tcPr>
            <w:tcW w:w="1128" w:type="pct"/>
            <w:tcBorders>
              <w:top w:val="single" w:sz="4" w:space="0" w:color="auto"/>
            </w:tcBorders>
            <w:vAlign w:val="center"/>
          </w:tcPr>
          <w:p w14:paraId="6457C99A" w14:textId="77777777" w:rsidR="00731546" w:rsidRDefault="00731546" w:rsidP="00127853">
            <w:pPr>
              <w:pStyle w:val="ClearedByText"/>
            </w:pPr>
          </w:p>
        </w:tc>
        <w:tc>
          <w:tcPr>
            <w:tcW w:w="1411" w:type="pct"/>
            <w:tcBorders>
              <w:top w:val="single" w:sz="4" w:space="0" w:color="auto"/>
            </w:tcBorders>
            <w:vAlign w:val="center"/>
          </w:tcPr>
          <w:p w14:paraId="16DE1867" w14:textId="77777777" w:rsidR="00731546" w:rsidRDefault="00731546" w:rsidP="00127853">
            <w:pPr>
              <w:pStyle w:val="ClearedByText"/>
            </w:pPr>
          </w:p>
        </w:tc>
        <w:tc>
          <w:tcPr>
            <w:tcW w:w="1746" w:type="pct"/>
            <w:tcBorders>
              <w:top w:val="single" w:sz="4" w:space="0" w:color="auto"/>
            </w:tcBorders>
            <w:vAlign w:val="center"/>
          </w:tcPr>
          <w:p w14:paraId="615AD9C5" w14:textId="77777777" w:rsidR="00731546" w:rsidRDefault="00731546" w:rsidP="00127853">
            <w:pPr>
              <w:pStyle w:val="ClearedByText"/>
            </w:pPr>
          </w:p>
        </w:tc>
      </w:tr>
      <w:tr w:rsidR="00731546" w14:paraId="04E6D6B4" w14:textId="77777777" w:rsidTr="00731546">
        <w:trPr>
          <w:cantSplit/>
          <w:trHeight w:val="442"/>
        </w:trPr>
        <w:tc>
          <w:tcPr>
            <w:tcW w:w="715" w:type="pct"/>
            <w:vAlign w:val="center"/>
          </w:tcPr>
          <w:p w14:paraId="2D804751" w14:textId="77777777" w:rsidR="00731546" w:rsidRDefault="00731546" w:rsidP="00127853">
            <w:pPr>
              <w:pStyle w:val="ClearedByText"/>
            </w:pPr>
          </w:p>
        </w:tc>
        <w:tc>
          <w:tcPr>
            <w:tcW w:w="1128" w:type="pct"/>
            <w:vAlign w:val="center"/>
          </w:tcPr>
          <w:p w14:paraId="2D3CB72F" w14:textId="77777777" w:rsidR="00731546" w:rsidRDefault="00731546" w:rsidP="00127853">
            <w:pPr>
              <w:pStyle w:val="ClearedByText"/>
            </w:pPr>
          </w:p>
        </w:tc>
        <w:tc>
          <w:tcPr>
            <w:tcW w:w="1411" w:type="pct"/>
            <w:vAlign w:val="center"/>
          </w:tcPr>
          <w:p w14:paraId="0D4C47DD" w14:textId="77777777" w:rsidR="00731546" w:rsidRDefault="00731546" w:rsidP="00127853">
            <w:pPr>
              <w:pStyle w:val="ClearedByText"/>
            </w:pPr>
          </w:p>
        </w:tc>
        <w:tc>
          <w:tcPr>
            <w:tcW w:w="1746" w:type="pct"/>
            <w:vAlign w:val="center"/>
          </w:tcPr>
          <w:p w14:paraId="426DAF32" w14:textId="77777777" w:rsidR="00731546" w:rsidRDefault="00731546" w:rsidP="00127853">
            <w:pPr>
              <w:pStyle w:val="ClearedByText"/>
            </w:pPr>
          </w:p>
        </w:tc>
      </w:tr>
    </w:tbl>
    <w:p w14:paraId="26C75A16" w14:textId="77777777" w:rsidR="00731546" w:rsidRPr="00731546" w:rsidRDefault="00731546" w:rsidP="00731546">
      <w:pPr>
        <w:rPr>
          <w:lang w:eastAsia="en-AU"/>
        </w:rPr>
      </w:pPr>
    </w:p>
    <w:p w14:paraId="48D7B54A" w14:textId="77777777" w:rsidR="00741AA8" w:rsidRDefault="00741AA8" w:rsidP="00741AA8">
      <w:pPr>
        <w:rPr>
          <w:lang w:eastAsia="en-AU"/>
        </w:rPr>
      </w:pPr>
    </w:p>
    <w:p w14:paraId="1652B3AC" w14:textId="77777777" w:rsidR="00741AA8" w:rsidRPr="00741AA8" w:rsidRDefault="00741AA8" w:rsidP="00741AA8">
      <w:pPr>
        <w:rPr>
          <w:lang w:eastAsia="en-AU"/>
        </w:rPr>
        <w:sectPr w:rsidR="00741AA8" w:rsidRPr="00741AA8" w:rsidSect="00222F16">
          <w:headerReference w:type="even" r:id="rId9"/>
          <w:headerReference w:type="default" r:id="rId10"/>
          <w:footerReference w:type="even" r:id="rId11"/>
          <w:footerReference w:type="default" r:id="rId12"/>
          <w:headerReference w:type="first" r:id="rId13"/>
          <w:footerReference w:type="first" r:id="rId14"/>
          <w:pgSz w:w="11906" w:h="16838" w:code="9"/>
          <w:pgMar w:top="907" w:right="1134" w:bottom="737" w:left="1134" w:header="709" w:footer="580" w:gutter="0"/>
          <w:cols w:space="708"/>
          <w:formProt w:val="0"/>
          <w:docGrid w:linePitch="360"/>
        </w:sectPr>
      </w:pPr>
    </w:p>
    <w:p w14:paraId="7DC39483" w14:textId="77777777" w:rsidR="00D24A10" w:rsidRPr="00D24A10" w:rsidRDefault="00E14AAC" w:rsidP="00D24A10">
      <w:pPr>
        <w:spacing w:after="0" w:line="240" w:lineRule="auto"/>
        <w:rPr>
          <w:sz w:val="4"/>
          <w:szCs w:val="16"/>
          <w:lang w:eastAsia="en-AU"/>
        </w:rPr>
      </w:pPr>
      <w:r>
        <w:rPr>
          <w:b/>
        </w:rPr>
        <w:br w:type="page"/>
      </w:r>
    </w:p>
    <w:p w14:paraId="57493FF3" w14:textId="77777777" w:rsidR="00556F02" w:rsidRPr="00BC0D29" w:rsidRDefault="00117ED9" w:rsidP="00E933A8">
      <w:pPr>
        <w:pStyle w:val="Heading3"/>
      </w:pPr>
      <w:r>
        <w:lastRenderedPageBreak/>
        <w:t>Introduction</w:t>
      </w:r>
    </w:p>
    <w:p w14:paraId="2F64581B" w14:textId="44E34EA5" w:rsidR="00437617" w:rsidRPr="00437617" w:rsidRDefault="00437617" w:rsidP="00437617">
      <w:pPr>
        <w:pStyle w:val="BulletedListLevel1"/>
        <w:rPr>
          <w:rStyle w:val="googqs-tidbitgoogqs-tidbit-0"/>
          <w:rFonts w:cs="Arial"/>
          <w:lang w:eastAsia="en-AU"/>
        </w:rPr>
      </w:pPr>
      <w:r>
        <w:t>The</w:t>
      </w:r>
      <w:r w:rsidRPr="00D746D6">
        <w:t xml:space="preserve"> </w:t>
      </w:r>
      <w:fldSimple w:instr=" DOCPROPERTY  ProcedureTitle  \* MERGEFORMAT ">
        <w:r w:rsidRPr="006A25E8">
          <w:rPr>
            <w:i/>
            <w:iCs/>
          </w:rPr>
          <w:t>Low Risk Research Procedure</w:t>
        </w:r>
        <w:r>
          <w:rPr>
            <w:i/>
            <w:iCs/>
          </w:rPr>
          <w:t xml:space="preserve"> </w:t>
        </w:r>
        <w:r w:rsidRPr="0027463D">
          <w:t>(L</w:t>
        </w:r>
        <w:r>
          <w:t>R</w:t>
        </w:r>
        <w:r w:rsidRPr="0027463D">
          <w:t>R Procedure)</w:t>
        </w:r>
        <w:r>
          <w:t xml:space="preserve"> </w:t>
        </w:r>
      </w:fldSimple>
      <w:r>
        <w:t>formally establishes procedure for the Tasmanian publicly funded health system</w:t>
      </w:r>
      <w:r w:rsidRPr="00622CCF">
        <w:rPr>
          <w:rFonts w:cs="Arial"/>
          <w:color w:val="000000"/>
          <w:lang w:eastAsia="en-AU"/>
        </w:rPr>
        <w:t xml:space="preserve"> </w:t>
      </w:r>
      <w:r>
        <w:rPr>
          <w:rFonts w:cs="Arial"/>
          <w:color w:val="000000"/>
          <w:lang w:eastAsia="en-AU"/>
        </w:rPr>
        <w:t>to approve non-HREC levels of ethical and governance reviews</w:t>
      </w:r>
      <w:r w:rsidRPr="00622CCF">
        <w:rPr>
          <w:rFonts w:cs="Calibri"/>
        </w:rPr>
        <w:t xml:space="preserve"> </w:t>
      </w:r>
      <w:r>
        <w:rPr>
          <w:rFonts w:cs="Calibri"/>
        </w:rPr>
        <w:t>for health and medical</w:t>
      </w:r>
      <w:r w:rsidRPr="00622CCF">
        <w:rPr>
          <w:rFonts w:cs="Calibri"/>
        </w:rPr>
        <w:t xml:space="preserve"> research projects</w:t>
      </w:r>
      <w:r>
        <w:t xml:space="preserve">, in accordance with the </w:t>
      </w:r>
      <w:r w:rsidRPr="00B30173">
        <w:rPr>
          <w:i/>
          <w:iCs/>
        </w:rPr>
        <w:t>R</w:t>
      </w:r>
      <w:r>
        <w:rPr>
          <w:i/>
          <w:iCs/>
        </w:rPr>
        <w:t xml:space="preserve">esearch Governance </w:t>
      </w:r>
      <w:r w:rsidRPr="00B30173">
        <w:rPr>
          <w:i/>
          <w:iCs/>
        </w:rPr>
        <w:t>P</w:t>
      </w:r>
      <w:r>
        <w:rPr>
          <w:i/>
          <w:iCs/>
        </w:rPr>
        <w:t xml:space="preserve">olicy </w:t>
      </w:r>
      <w:r w:rsidRPr="00B30173">
        <w:rPr>
          <w:i/>
          <w:iCs/>
        </w:rPr>
        <w:t>F</w:t>
      </w:r>
      <w:r>
        <w:rPr>
          <w:i/>
          <w:iCs/>
        </w:rPr>
        <w:t>ramework</w:t>
      </w:r>
      <w:r>
        <w:t xml:space="preserve"> (RGPF) and </w:t>
      </w:r>
      <w:r w:rsidRPr="00B30173">
        <w:rPr>
          <w:i/>
          <w:iCs/>
        </w:rPr>
        <w:t>National Statement</w:t>
      </w:r>
      <w:r>
        <w:t xml:space="preserve">, unless otherwise stipulated in the Exemption Category (refer Section: </w:t>
      </w:r>
      <w:hyperlink w:anchor="_Exemptions_from_Ethical" w:history="1">
        <w:r w:rsidRPr="004A6747">
          <w:rPr>
            <w:rStyle w:val="Hyperlink"/>
          </w:rPr>
          <w:t>Exemption</w:t>
        </w:r>
        <w:r>
          <w:rPr>
            <w:rStyle w:val="Hyperlink"/>
          </w:rPr>
          <w:t>s</w:t>
        </w:r>
        <w:r w:rsidRPr="004A6747">
          <w:rPr>
            <w:rStyle w:val="Hyperlink"/>
          </w:rPr>
          <w:t xml:space="preserve"> from Ethical Review</w:t>
        </w:r>
      </w:hyperlink>
      <w:r>
        <w:t>).</w:t>
      </w:r>
    </w:p>
    <w:p w14:paraId="2FEF3721" w14:textId="58F0F7EE" w:rsidR="006A25E8" w:rsidRDefault="006A25E8" w:rsidP="004A6747">
      <w:pPr>
        <w:pStyle w:val="BulletedListLevel1"/>
        <w:rPr>
          <w:lang w:eastAsia="en-AU"/>
        </w:rPr>
      </w:pPr>
      <w:r w:rsidRPr="00965C80">
        <w:rPr>
          <w:rStyle w:val="googqs-tidbitgoogqs-tidbit-0"/>
          <w:rFonts w:cs="Arial"/>
          <w:color w:val="000000"/>
        </w:rPr>
        <w:t>“</w:t>
      </w:r>
      <w:r w:rsidR="002A7B25">
        <w:rPr>
          <w:rStyle w:val="googqs-tidbitgoogqs-tidbit-0"/>
          <w:rFonts w:cs="Arial"/>
          <w:color w:val="000000"/>
        </w:rPr>
        <w:t>I</w:t>
      </w:r>
      <w:r w:rsidRPr="00965C80">
        <w:rPr>
          <w:shd w:val="clear" w:color="auto" w:fill="FFFFFF"/>
        </w:rPr>
        <w:t>nstitutions are responsible for establishing procedures for the ethical review of human research</w:t>
      </w:r>
      <w:r w:rsidR="004A6747">
        <w:rPr>
          <w:shd w:val="clear" w:color="auto" w:fill="FFFFFF"/>
        </w:rPr>
        <w:t>” and can</w:t>
      </w:r>
      <w:r>
        <w:rPr>
          <w:shd w:val="clear" w:color="auto" w:fill="FFFFFF"/>
        </w:rPr>
        <w:t xml:space="preserve"> </w:t>
      </w:r>
      <w:r w:rsidR="001D056E">
        <w:rPr>
          <w:shd w:val="clear" w:color="auto" w:fill="FFFFFF"/>
        </w:rPr>
        <w:t>“</w:t>
      </w:r>
      <w:r>
        <w:rPr>
          <w:shd w:val="clear" w:color="auto" w:fill="FFFFFF"/>
        </w:rPr>
        <w:t xml:space="preserve">establish levels of ethical </w:t>
      </w:r>
      <w:r w:rsidRPr="00965C80">
        <w:rPr>
          <w:shd w:val="clear" w:color="auto" w:fill="FFFFFF"/>
        </w:rPr>
        <w:t xml:space="preserve">review according to the degree of risk involved in the research” and </w:t>
      </w:r>
      <w:r w:rsidRPr="00B02097">
        <w:rPr>
          <w:lang w:eastAsia="en-AU"/>
        </w:rPr>
        <w:t>research that carries only low risk</w:t>
      </w:r>
      <w:r>
        <w:rPr>
          <w:lang w:eastAsia="en-AU"/>
        </w:rPr>
        <w:t xml:space="preserve"> “</w:t>
      </w:r>
      <w:r w:rsidRPr="00B02097">
        <w:rPr>
          <w:lang w:eastAsia="en-AU"/>
        </w:rPr>
        <w:t xml:space="preserve">institutions may choose to establish other levels of ethical review and establish </w:t>
      </w:r>
      <w:r>
        <w:rPr>
          <w:lang w:eastAsia="en-AU"/>
        </w:rPr>
        <w:t xml:space="preserve">a </w:t>
      </w:r>
      <w:r w:rsidRPr="00B02097">
        <w:rPr>
          <w:lang w:eastAsia="en-AU"/>
        </w:rPr>
        <w:t>non-HRE</w:t>
      </w:r>
      <w:r>
        <w:rPr>
          <w:lang w:eastAsia="en-AU"/>
        </w:rPr>
        <w:t>C</w:t>
      </w:r>
      <w:r w:rsidRPr="00B02097">
        <w:rPr>
          <w:lang w:eastAsia="en-AU"/>
        </w:rPr>
        <w:t xml:space="preserve"> level of ethical review</w:t>
      </w:r>
      <w:r>
        <w:rPr>
          <w:lang w:eastAsia="en-AU"/>
        </w:rPr>
        <w:t>”</w:t>
      </w:r>
      <w:r w:rsidR="002A7B25">
        <w:t xml:space="preserve"> i</w:t>
      </w:r>
      <w:r w:rsidR="002A7B25" w:rsidRPr="00B02097">
        <w:t>n</w:t>
      </w:r>
      <w:r w:rsidR="002A7B25" w:rsidRPr="00965C80">
        <w:rPr>
          <w:rFonts w:cs="Calibri"/>
        </w:rPr>
        <w:t xml:space="preserve"> accordance with the</w:t>
      </w:r>
      <w:r w:rsidR="002A7B25">
        <w:rPr>
          <w:rFonts w:cs="Calibri"/>
        </w:rPr>
        <w:t xml:space="preserve"> </w:t>
      </w:r>
      <w:hyperlink r:id="rId15" w:anchor="research-governance-policy-framework" w:history="1">
        <w:r w:rsidR="002A7B25" w:rsidRPr="006A25E8">
          <w:rPr>
            <w:rStyle w:val="Hyperlink"/>
            <w:rFonts w:cs="Calibri"/>
            <w:i/>
            <w:iCs/>
          </w:rPr>
          <w:t>Research Governance Policy Framework</w:t>
        </w:r>
      </w:hyperlink>
      <w:r w:rsidR="002A7B25">
        <w:rPr>
          <w:rFonts w:cs="Calibri"/>
        </w:rPr>
        <w:t xml:space="preserve"> (RGPF), underpinned by the</w:t>
      </w:r>
      <w:r w:rsidR="002A7B25" w:rsidRPr="00965C80">
        <w:rPr>
          <w:rFonts w:cs="Calibri"/>
        </w:rPr>
        <w:t xml:space="preserve"> </w:t>
      </w:r>
      <w:hyperlink r:id="rId16" w:anchor="toc__1593" w:history="1">
        <w:r w:rsidR="002A7B25" w:rsidRPr="00965C80">
          <w:rPr>
            <w:rStyle w:val="Hyperlink"/>
            <w:shd w:val="clear" w:color="auto" w:fill="FFFFFF"/>
          </w:rPr>
          <w:t xml:space="preserve">National Health and Medical Research Council (NHMRC), </w:t>
        </w:r>
        <w:r w:rsidR="002A7B25" w:rsidRPr="00965C80">
          <w:rPr>
            <w:rStyle w:val="Hyperlink"/>
            <w:i/>
          </w:rPr>
          <w:t xml:space="preserve">National </w:t>
        </w:r>
        <w:r w:rsidR="002A7B25" w:rsidRPr="00965C80">
          <w:rPr>
            <w:rStyle w:val="Hyperlink"/>
            <w:rFonts w:cs="Arial"/>
            <w:i/>
          </w:rPr>
          <w:t>Statement on Ethical Conduct in Human Research</w:t>
        </w:r>
      </w:hyperlink>
      <w:r w:rsidR="002A7B25">
        <w:rPr>
          <w:rStyle w:val="Hyperlink"/>
          <w:rFonts w:cs="Arial"/>
          <w:i/>
        </w:rPr>
        <w:t xml:space="preserve"> (</w:t>
      </w:r>
      <w:r w:rsidR="002A7B25" w:rsidRPr="00A82B23">
        <w:rPr>
          <w:rStyle w:val="Hyperlink"/>
          <w:rFonts w:cs="Arial"/>
          <w:iCs/>
        </w:rPr>
        <w:t>2007, updated 2018</w:t>
      </w:r>
      <w:r w:rsidR="002A7B25">
        <w:rPr>
          <w:rStyle w:val="Hyperlink"/>
          <w:rFonts w:cs="Arial"/>
          <w:i/>
        </w:rPr>
        <w:t>)</w:t>
      </w:r>
      <w:r w:rsidR="002A7B25" w:rsidRPr="00965C80">
        <w:rPr>
          <w:rStyle w:val="googqs-tidbitgoogqs-tidbit-0"/>
          <w:rFonts w:cs="Arial"/>
          <w:color w:val="000000"/>
        </w:rPr>
        <w:t xml:space="preserve"> (the “National Statement”)</w:t>
      </w:r>
    </w:p>
    <w:p w14:paraId="01035624" w14:textId="77777777" w:rsidR="00D93DBF" w:rsidRDefault="00117ED9" w:rsidP="003C3DEB">
      <w:pPr>
        <w:pStyle w:val="Heading3"/>
        <w:rPr>
          <w:lang w:eastAsia="en-AU"/>
        </w:rPr>
      </w:pPr>
      <w:r>
        <w:rPr>
          <w:lang w:eastAsia="en-AU"/>
        </w:rPr>
        <w:t>Mandatory R</w:t>
      </w:r>
      <w:r w:rsidR="00D93DBF">
        <w:rPr>
          <w:lang w:eastAsia="en-AU"/>
        </w:rPr>
        <w:t>equirements</w:t>
      </w:r>
    </w:p>
    <w:p w14:paraId="0C917B67" w14:textId="7D69D04B" w:rsidR="0027463D" w:rsidRPr="0027463D" w:rsidRDefault="0027463D" w:rsidP="0027463D">
      <w:pPr>
        <w:pStyle w:val="BulletedListLevel1"/>
        <w:rPr>
          <w:lang w:eastAsia="en-AU"/>
        </w:rPr>
      </w:pPr>
      <w:r w:rsidRPr="00F13E7D">
        <w:rPr>
          <w:shd w:val="clear" w:color="auto" w:fill="FFFFFF"/>
        </w:rPr>
        <w:t xml:space="preserve">The </w:t>
      </w:r>
      <w:r w:rsidRPr="0027463D">
        <w:rPr>
          <w:i/>
          <w:iCs/>
        </w:rPr>
        <w:t>L</w:t>
      </w:r>
      <w:r w:rsidR="0035772B">
        <w:rPr>
          <w:i/>
          <w:iCs/>
        </w:rPr>
        <w:t>R</w:t>
      </w:r>
      <w:r w:rsidRPr="0027463D">
        <w:rPr>
          <w:i/>
          <w:iCs/>
        </w:rPr>
        <w:t>R Procedure</w:t>
      </w:r>
      <w:r w:rsidR="0035772B">
        <w:rPr>
          <w:i/>
          <w:iCs/>
        </w:rPr>
        <w:t xml:space="preserve"> </w:t>
      </w:r>
      <w:r w:rsidRPr="00F13E7D">
        <w:rPr>
          <w:shd w:val="clear" w:color="auto" w:fill="FFFFFF"/>
        </w:rPr>
        <w:t xml:space="preserve">relates </w:t>
      </w:r>
      <w:r w:rsidR="00605854">
        <w:rPr>
          <w:shd w:val="clear" w:color="auto" w:fill="FFFFFF"/>
        </w:rPr>
        <w:t>to</w:t>
      </w:r>
      <w:r w:rsidR="0035772B">
        <w:rPr>
          <w:shd w:val="clear" w:color="auto" w:fill="FFFFFF"/>
        </w:rPr>
        <w:t xml:space="preserve"> </w:t>
      </w:r>
      <w:r w:rsidRPr="00F13E7D">
        <w:rPr>
          <w:lang w:eastAsia="en-AU"/>
        </w:rPr>
        <w:t>the ethical and scientific review of</w:t>
      </w:r>
      <w:r w:rsidR="0035772B">
        <w:rPr>
          <w:lang w:eastAsia="en-AU"/>
        </w:rPr>
        <w:t xml:space="preserve"> a</w:t>
      </w:r>
      <w:r w:rsidRPr="00F13E7D">
        <w:rPr>
          <w:lang w:eastAsia="en-AU"/>
        </w:rPr>
        <w:t xml:space="preserve"> h</w:t>
      </w:r>
      <w:r w:rsidR="001101E3">
        <w:rPr>
          <w:lang w:eastAsia="en-AU"/>
        </w:rPr>
        <w:t>ealth and medical</w:t>
      </w:r>
      <w:r w:rsidRPr="00F13E7D">
        <w:rPr>
          <w:lang w:eastAsia="en-AU"/>
        </w:rPr>
        <w:t xml:space="preserve"> research project</w:t>
      </w:r>
      <w:r w:rsidR="00BB78C6">
        <w:rPr>
          <w:lang w:eastAsia="en-AU"/>
        </w:rPr>
        <w:t xml:space="preserve"> only</w:t>
      </w:r>
      <w:r w:rsidRPr="00F13E7D">
        <w:rPr>
          <w:lang w:eastAsia="en-AU"/>
        </w:rPr>
        <w:t>. It remains an i</w:t>
      </w:r>
      <w:r w:rsidRPr="00F13E7D">
        <w:rPr>
          <w:shd w:val="clear" w:color="auto" w:fill="FFFFFF"/>
        </w:rPr>
        <w:t>nstitutional decision</w:t>
      </w:r>
      <w:r>
        <w:rPr>
          <w:shd w:val="clear" w:color="auto" w:fill="FFFFFF"/>
        </w:rPr>
        <w:t xml:space="preserve">, following the review </w:t>
      </w:r>
      <w:r w:rsidR="002A7B25">
        <w:rPr>
          <w:shd w:val="clear" w:color="auto" w:fill="FFFFFF"/>
        </w:rPr>
        <w:t xml:space="preserve">of the </w:t>
      </w:r>
      <w:r>
        <w:rPr>
          <w:shd w:val="clear" w:color="auto" w:fill="FFFFFF"/>
        </w:rPr>
        <w:t>site-specific assessment (SSA),</w:t>
      </w:r>
      <w:r w:rsidRPr="00F13E7D">
        <w:rPr>
          <w:shd w:val="clear" w:color="auto" w:fill="FFFFFF"/>
        </w:rPr>
        <w:t xml:space="preserve"> whether </w:t>
      </w:r>
      <w:r>
        <w:rPr>
          <w:shd w:val="clear" w:color="auto" w:fill="FFFFFF"/>
        </w:rPr>
        <w:t xml:space="preserve">the </w:t>
      </w:r>
      <w:r w:rsidRPr="00F13E7D">
        <w:rPr>
          <w:shd w:val="clear" w:color="auto" w:fill="FFFFFF"/>
        </w:rPr>
        <w:t>research</w:t>
      </w:r>
      <w:r w:rsidR="001101E3">
        <w:rPr>
          <w:shd w:val="clear" w:color="auto" w:fill="FFFFFF"/>
        </w:rPr>
        <w:t xml:space="preserve"> project</w:t>
      </w:r>
      <w:r w:rsidRPr="00F13E7D">
        <w:rPr>
          <w:shd w:val="clear" w:color="auto" w:fill="FFFFFF"/>
        </w:rPr>
        <w:t xml:space="preserve"> should be conducted at </w:t>
      </w:r>
      <w:r>
        <w:rPr>
          <w:shd w:val="clear" w:color="auto" w:fill="FFFFFF"/>
        </w:rPr>
        <w:t>the site</w:t>
      </w:r>
      <w:r w:rsidRPr="00F13E7D">
        <w:rPr>
          <w:shd w:val="clear" w:color="auto" w:fill="FFFFFF"/>
        </w:rPr>
        <w:t xml:space="preserve">. </w:t>
      </w:r>
    </w:p>
    <w:p w14:paraId="4276317D" w14:textId="73E98E3F" w:rsidR="0027463D" w:rsidRPr="00B30173" w:rsidRDefault="0027463D" w:rsidP="0027463D">
      <w:pPr>
        <w:pStyle w:val="BulletedListLevel1"/>
        <w:rPr>
          <w:rFonts w:cs="Arial"/>
          <w:lang w:eastAsia="en-AU"/>
        </w:rPr>
      </w:pPr>
      <w:r>
        <w:rPr>
          <w:shd w:val="clear" w:color="auto" w:fill="FFFFFF"/>
        </w:rPr>
        <w:t xml:space="preserve">The </w:t>
      </w:r>
      <w:r w:rsidR="0035772B" w:rsidRPr="0027463D">
        <w:rPr>
          <w:i/>
          <w:iCs/>
        </w:rPr>
        <w:t>L</w:t>
      </w:r>
      <w:r w:rsidR="0035772B">
        <w:rPr>
          <w:i/>
          <w:iCs/>
        </w:rPr>
        <w:t>R</w:t>
      </w:r>
      <w:r w:rsidR="0035772B" w:rsidRPr="0027463D">
        <w:rPr>
          <w:i/>
          <w:iCs/>
        </w:rPr>
        <w:t>R Procedure</w:t>
      </w:r>
      <w:r w:rsidR="0035772B">
        <w:t xml:space="preserve"> </w:t>
      </w:r>
      <w:r w:rsidR="00B30173">
        <w:t>appl</w:t>
      </w:r>
      <w:r w:rsidR="0035772B">
        <w:t>ies</w:t>
      </w:r>
      <w:r>
        <w:t xml:space="preserve"> to </w:t>
      </w:r>
      <w:r w:rsidR="00427F7F">
        <w:rPr>
          <w:lang w:eastAsia="en-AU"/>
        </w:rPr>
        <w:t>all</w:t>
      </w:r>
      <w:r w:rsidRPr="00DB429E">
        <w:rPr>
          <w:lang w:eastAsia="en-AU"/>
        </w:rPr>
        <w:t xml:space="preserve"> </w:t>
      </w:r>
      <w:r>
        <w:rPr>
          <w:lang w:eastAsia="en-AU"/>
        </w:rPr>
        <w:t xml:space="preserve">Tasmanian </w:t>
      </w:r>
      <w:r w:rsidRPr="00DB429E">
        <w:rPr>
          <w:lang w:eastAsia="en-AU"/>
        </w:rPr>
        <w:t>public</w:t>
      </w:r>
      <w:r>
        <w:rPr>
          <w:lang w:eastAsia="en-AU"/>
        </w:rPr>
        <w:t>ly funded</w:t>
      </w:r>
      <w:r w:rsidRPr="00DB429E">
        <w:rPr>
          <w:lang w:eastAsia="en-AU"/>
        </w:rPr>
        <w:t xml:space="preserve"> health </w:t>
      </w:r>
      <w:r>
        <w:rPr>
          <w:lang w:eastAsia="en-AU"/>
        </w:rPr>
        <w:t>system</w:t>
      </w:r>
      <w:r w:rsidR="00B30173">
        <w:rPr>
          <w:lang w:eastAsia="en-AU"/>
        </w:rPr>
        <w:t xml:space="preserve"> health servic</w:t>
      </w:r>
      <w:r w:rsidR="00427F7F">
        <w:rPr>
          <w:lang w:eastAsia="en-AU"/>
        </w:rPr>
        <w:t>es</w:t>
      </w:r>
      <w:r>
        <w:rPr>
          <w:lang w:eastAsia="en-AU"/>
        </w:rPr>
        <w:t xml:space="preserve">, inclusive of the </w:t>
      </w:r>
      <w:r w:rsidRPr="00DB429E">
        <w:rPr>
          <w:lang w:eastAsia="en-AU"/>
        </w:rPr>
        <w:t>Tasmanian Department of Health (DoH)</w:t>
      </w:r>
      <w:r w:rsidR="00427F7F">
        <w:rPr>
          <w:lang w:eastAsia="en-AU"/>
        </w:rPr>
        <w:t xml:space="preserve"> </w:t>
      </w:r>
      <w:r>
        <w:rPr>
          <w:lang w:eastAsia="en-AU"/>
        </w:rPr>
        <w:t xml:space="preserve">and all the </w:t>
      </w:r>
      <w:r w:rsidRPr="00DB429E">
        <w:rPr>
          <w:lang w:eastAsia="en-AU"/>
        </w:rPr>
        <w:t xml:space="preserve">associated service delivery </w:t>
      </w:r>
      <w:r>
        <w:rPr>
          <w:lang w:eastAsia="en-AU"/>
        </w:rPr>
        <w:t xml:space="preserve">areas, </w:t>
      </w:r>
      <w:r w:rsidR="00005AEF">
        <w:rPr>
          <w:lang w:eastAsia="en-AU"/>
        </w:rPr>
        <w:t>including Communities</w:t>
      </w:r>
      <w:r w:rsidR="002A7B25">
        <w:rPr>
          <w:lang w:eastAsia="en-AU"/>
        </w:rPr>
        <w:t xml:space="preserve">, Mental </w:t>
      </w:r>
      <w:proofErr w:type="gramStart"/>
      <w:r w:rsidR="002A7B25">
        <w:rPr>
          <w:lang w:eastAsia="en-AU"/>
        </w:rPr>
        <w:t>Health</w:t>
      </w:r>
      <w:proofErr w:type="gramEnd"/>
      <w:r w:rsidR="002A7B25">
        <w:rPr>
          <w:lang w:eastAsia="en-AU"/>
        </w:rPr>
        <w:t xml:space="preserve"> and Wellbeing</w:t>
      </w:r>
      <w:r w:rsidR="00B30173">
        <w:rPr>
          <w:lang w:eastAsia="en-AU"/>
        </w:rPr>
        <w:t xml:space="preserve">. </w:t>
      </w:r>
    </w:p>
    <w:p w14:paraId="19EA0076" w14:textId="1CF5D71B" w:rsidR="00B30173" w:rsidRDefault="00B30173" w:rsidP="00B30173">
      <w:pPr>
        <w:pStyle w:val="BulletedListLevel1"/>
        <w:rPr>
          <w:lang w:eastAsia="en-AU"/>
        </w:rPr>
      </w:pPr>
      <w:r>
        <w:rPr>
          <w:shd w:val="clear" w:color="auto" w:fill="FFFFFF"/>
        </w:rPr>
        <w:t xml:space="preserve">The </w:t>
      </w:r>
      <w:r w:rsidR="00BB78C6" w:rsidRPr="0027463D">
        <w:rPr>
          <w:i/>
          <w:iCs/>
        </w:rPr>
        <w:t>L</w:t>
      </w:r>
      <w:r w:rsidR="00BB78C6">
        <w:rPr>
          <w:i/>
          <w:iCs/>
        </w:rPr>
        <w:t>R</w:t>
      </w:r>
      <w:r w:rsidR="00BB78C6" w:rsidRPr="0027463D">
        <w:rPr>
          <w:i/>
          <w:iCs/>
        </w:rPr>
        <w:t>R Procedure</w:t>
      </w:r>
      <w:r w:rsidR="00BB78C6">
        <w:t xml:space="preserve"> applies </w:t>
      </w:r>
      <w:r>
        <w:t xml:space="preserve">to all staff, officers, volunteers, contractors; </w:t>
      </w:r>
      <w:r w:rsidRPr="00F16EE9">
        <w:rPr>
          <w:lang w:eastAsia="en-AU"/>
        </w:rPr>
        <w:t xml:space="preserve">external individuals, organisations, entities, bodies or institutions (e.g. commercial, non-commercial sponsors and tertiary institutes) </w:t>
      </w:r>
      <w:r>
        <w:t>that</w:t>
      </w:r>
      <w:r w:rsidRPr="00796784">
        <w:t xml:space="preserve"> propose to conduct, manage, review and govern </w:t>
      </w:r>
      <w:r w:rsidR="002A7B25">
        <w:t xml:space="preserve">low risk </w:t>
      </w:r>
      <w:r w:rsidRPr="00796784">
        <w:t>research</w:t>
      </w:r>
      <w:r>
        <w:t xml:space="preserve"> that requires the use of </w:t>
      </w:r>
      <w:r w:rsidRPr="005E3F14">
        <w:rPr>
          <w:lang w:eastAsia="en-AU"/>
        </w:rPr>
        <w:t xml:space="preserve">Tasmanian public health </w:t>
      </w:r>
      <w:r>
        <w:rPr>
          <w:lang w:eastAsia="en-AU"/>
        </w:rPr>
        <w:t xml:space="preserve">system </w:t>
      </w:r>
      <w:r w:rsidRPr="005E3F14">
        <w:rPr>
          <w:lang w:eastAsia="en-AU"/>
        </w:rPr>
        <w:t xml:space="preserve">facilities, </w:t>
      </w:r>
      <w:r w:rsidRPr="00F16EE9">
        <w:rPr>
          <w:lang w:eastAsia="en-AU"/>
        </w:rPr>
        <w:t>access to participants (patient and/or public health service employees) and/or their data (medical and person</w:t>
      </w:r>
      <w:r>
        <w:rPr>
          <w:lang w:eastAsia="en-AU"/>
        </w:rPr>
        <w:t>n</w:t>
      </w:r>
      <w:r w:rsidRPr="00F16EE9">
        <w:rPr>
          <w:lang w:eastAsia="en-AU"/>
        </w:rPr>
        <w:t xml:space="preserve">el records of information) and/or tissue collections held within the authority of the </w:t>
      </w:r>
      <w:r w:rsidRPr="005E3F14">
        <w:rPr>
          <w:lang w:eastAsia="en-AU"/>
        </w:rPr>
        <w:t>Tasmanian public</w:t>
      </w:r>
      <w:r>
        <w:rPr>
          <w:lang w:eastAsia="en-AU"/>
        </w:rPr>
        <w:t>ly funded</w:t>
      </w:r>
      <w:r w:rsidRPr="005E3F14">
        <w:rPr>
          <w:lang w:eastAsia="en-AU"/>
        </w:rPr>
        <w:t xml:space="preserve"> health </w:t>
      </w:r>
      <w:r>
        <w:rPr>
          <w:lang w:eastAsia="en-AU"/>
        </w:rPr>
        <w:t>system</w:t>
      </w:r>
      <w:r w:rsidRPr="00F16EE9">
        <w:rPr>
          <w:lang w:eastAsia="en-AU"/>
        </w:rPr>
        <w:t xml:space="preserve">.  </w:t>
      </w:r>
    </w:p>
    <w:p w14:paraId="7D7504A3" w14:textId="3A6A7D2E" w:rsidR="0027463D" w:rsidRPr="00622CCF" w:rsidRDefault="0027463D" w:rsidP="00A83E1F">
      <w:pPr>
        <w:pStyle w:val="BulletedListLevel1"/>
        <w:rPr>
          <w:lang w:eastAsia="en-AU"/>
        </w:rPr>
      </w:pPr>
      <w:r w:rsidRPr="00B30173">
        <w:rPr>
          <w:shd w:val="clear" w:color="auto" w:fill="FFFFFF"/>
        </w:rPr>
        <w:t>A h</w:t>
      </w:r>
      <w:r w:rsidR="001101E3">
        <w:rPr>
          <w:shd w:val="clear" w:color="auto" w:fill="FFFFFF"/>
        </w:rPr>
        <w:t>ealth and medical</w:t>
      </w:r>
      <w:r w:rsidRPr="00B30173">
        <w:rPr>
          <w:shd w:val="clear" w:color="auto" w:fill="FFFFFF"/>
        </w:rPr>
        <w:t xml:space="preserve"> research project </w:t>
      </w:r>
      <w:r w:rsidR="00B30173">
        <w:rPr>
          <w:shd w:val="clear" w:color="auto" w:fill="FFFFFF"/>
        </w:rPr>
        <w:t>regardless of the “risk level” must not</w:t>
      </w:r>
      <w:r w:rsidRPr="00B30173">
        <w:rPr>
          <w:shd w:val="clear" w:color="auto" w:fill="FFFFFF"/>
        </w:rPr>
        <w:t xml:space="preserve"> commence </w:t>
      </w:r>
      <w:r>
        <w:t>within the Tasmanian publicly funded health system</w:t>
      </w:r>
      <w:r w:rsidR="00B30173">
        <w:t xml:space="preserve"> nor access data without both an ethics approval and </w:t>
      </w:r>
      <w:r w:rsidR="001101E3">
        <w:t>institutional</w:t>
      </w:r>
      <w:r w:rsidR="00B30173">
        <w:t xml:space="preserve"> approval</w:t>
      </w:r>
      <w:r w:rsidR="001101E3">
        <w:t xml:space="preserve"> from the Chief Executive (or equivalent Delegated Authority)</w:t>
      </w:r>
      <w:r w:rsidR="00B30173">
        <w:t xml:space="preserve">. </w:t>
      </w:r>
    </w:p>
    <w:p w14:paraId="1B13CE08" w14:textId="6FD20891" w:rsidR="00B30173" w:rsidRPr="00427F7F" w:rsidRDefault="00B30173" w:rsidP="00B30173">
      <w:pPr>
        <w:pStyle w:val="BulletedListLevel1"/>
        <w:rPr>
          <w:lang w:eastAsia="en-AU"/>
        </w:rPr>
      </w:pPr>
      <w:r>
        <w:rPr>
          <w:shd w:val="clear" w:color="auto" w:fill="FFFFFF"/>
        </w:rPr>
        <w:t xml:space="preserve">The </w:t>
      </w:r>
      <w:r w:rsidR="00BB78C6" w:rsidRPr="0027463D">
        <w:rPr>
          <w:i/>
          <w:iCs/>
        </w:rPr>
        <w:t>L</w:t>
      </w:r>
      <w:r w:rsidR="00BB78C6">
        <w:rPr>
          <w:i/>
          <w:iCs/>
        </w:rPr>
        <w:t>R</w:t>
      </w:r>
      <w:r w:rsidR="00BB78C6" w:rsidRPr="0027463D">
        <w:rPr>
          <w:i/>
          <w:iCs/>
        </w:rPr>
        <w:t>R Procedure</w:t>
      </w:r>
      <w:r w:rsidR="00BB78C6">
        <w:t xml:space="preserve"> is </w:t>
      </w:r>
      <w:r w:rsidRPr="00620D41">
        <w:t xml:space="preserve">a mandatory </w:t>
      </w:r>
      <w:r>
        <w:t>s</w:t>
      </w:r>
      <w:r w:rsidRPr="00620D41">
        <w:t xml:space="preserve">tatewide </w:t>
      </w:r>
      <w:r>
        <w:t>procedure to establish</w:t>
      </w:r>
      <w:r w:rsidRPr="00620D41">
        <w:t xml:space="preserve"> a minimum standard</w:t>
      </w:r>
      <w:r>
        <w:t xml:space="preserve"> and promote </w:t>
      </w:r>
      <w:r w:rsidRPr="00620D41">
        <w:t>a</w:t>
      </w:r>
      <w:r w:rsidRPr="00E702DE">
        <w:t xml:space="preserve"> consist approach </w:t>
      </w:r>
      <w:r>
        <w:t xml:space="preserve">for non-HREC </w:t>
      </w:r>
      <w:r w:rsidR="00BB78C6">
        <w:t xml:space="preserve">levels of </w:t>
      </w:r>
      <w:r>
        <w:t xml:space="preserve">review </w:t>
      </w:r>
      <w:r>
        <w:rPr>
          <w:rFonts w:cs="Calibri"/>
          <w:szCs w:val="22"/>
        </w:rPr>
        <w:t xml:space="preserve">in accordance with the </w:t>
      </w:r>
      <w:r w:rsidRPr="00B30173">
        <w:rPr>
          <w:rFonts w:cs="Arial"/>
          <w:i/>
          <w:iCs/>
          <w:szCs w:val="22"/>
        </w:rPr>
        <w:t>National Statement</w:t>
      </w:r>
      <w:r>
        <w:rPr>
          <w:rFonts w:cs="Arial"/>
          <w:szCs w:val="22"/>
        </w:rPr>
        <w:t xml:space="preserve">, </w:t>
      </w:r>
      <w:r w:rsidRPr="00B30173">
        <w:rPr>
          <w:rFonts w:cs="Arial"/>
          <w:i/>
          <w:iCs/>
          <w:szCs w:val="22"/>
        </w:rPr>
        <w:t>RGPF</w:t>
      </w:r>
      <w:r>
        <w:rPr>
          <w:rFonts w:cs="Arial"/>
          <w:szCs w:val="22"/>
        </w:rPr>
        <w:t xml:space="preserve"> and the </w:t>
      </w:r>
      <w:r w:rsidRPr="00B30173">
        <w:rPr>
          <w:rFonts w:cs="Arial"/>
          <w:i/>
          <w:iCs/>
          <w:szCs w:val="22"/>
        </w:rPr>
        <w:t>National Mutual Acceptance, Low and Negligible Risk Standard Operating Procedures</w:t>
      </w:r>
      <w:r>
        <w:rPr>
          <w:rFonts w:cs="Arial"/>
          <w:szCs w:val="22"/>
        </w:rPr>
        <w:t xml:space="preserve">. </w:t>
      </w:r>
    </w:p>
    <w:p w14:paraId="30C8CAC1" w14:textId="77777777" w:rsidR="00427F7F" w:rsidRDefault="00427F7F" w:rsidP="00427F7F">
      <w:pPr>
        <w:pStyle w:val="Heading3"/>
        <w:keepLines/>
        <w:rPr>
          <w:lang w:eastAsia="en-AU"/>
        </w:rPr>
      </w:pPr>
      <w:r>
        <w:rPr>
          <w:lang w:eastAsia="en-AU"/>
        </w:rPr>
        <w:t>Procedure</w:t>
      </w:r>
    </w:p>
    <w:p w14:paraId="4869817F" w14:textId="133BC768" w:rsidR="00427F7F" w:rsidRDefault="00427F7F" w:rsidP="00253FC9">
      <w:pPr>
        <w:pStyle w:val="Heading4"/>
        <w:numPr>
          <w:ilvl w:val="0"/>
          <w:numId w:val="36"/>
        </w:numPr>
        <w:tabs>
          <w:tab w:val="clear" w:pos="567"/>
        </w:tabs>
        <w:ind w:left="567" w:hanging="567"/>
      </w:pPr>
      <w:bookmarkStart w:id="2" w:name="_Hlk94256897"/>
      <w:r>
        <w:t xml:space="preserve">Determination of Risk and Level of Review </w:t>
      </w:r>
    </w:p>
    <w:p w14:paraId="3C8FC2C5" w14:textId="17046306" w:rsidR="007C7351" w:rsidRDefault="007C7351" w:rsidP="00297C9B">
      <w:pPr>
        <w:pStyle w:val="ListParagraph"/>
        <w:numPr>
          <w:ilvl w:val="0"/>
          <w:numId w:val="8"/>
        </w:numPr>
        <w:tabs>
          <w:tab w:val="clear" w:pos="567"/>
        </w:tabs>
        <w:ind w:left="567" w:hanging="567"/>
        <w:rPr>
          <w:lang w:eastAsia="en-AU"/>
        </w:rPr>
      </w:pPr>
      <w:r>
        <w:rPr>
          <w:lang w:eastAsia="en-AU"/>
        </w:rPr>
        <w:t xml:space="preserve">Tasmanian publicly funded health service </w:t>
      </w:r>
      <w:r w:rsidR="00AB5E3C">
        <w:rPr>
          <w:lang w:eastAsia="en-AU"/>
        </w:rPr>
        <w:t xml:space="preserve">will use the New South Wales Office of Health and Medical Research Guidelines </w:t>
      </w:r>
      <w:r>
        <w:rPr>
          <w:lang w:eastAsia="en-AU"/>
        </w:rPr>
        <w:t>to determine risk and level of review</w:t>
      </w:r>
      <w:r w:rsidR="003509F6">
        <w:rPr>
          <w:lang w:eastAsia="en-AU"/>
        </w:rPr>
        <w:t xml:space="preserve"> (Appendix 1)</w:t>
      </w:r>
      <w:r>
        <w:rPr>
          <w:lang w:eastAsia="en-AU"/>
        </w:rPr>
        <w:t xml:space="preserve">. </w:t>
      </w:r>
    </w:p>
    <w:p w14:paraId="044B0D49" w14:textId="42113901" w:rsidR="00427F7F" w:rsidRPr="00427F7F" w:rsidRDefault="00427F7F" w:rsidP="00427F7F">
      <w:pPr>
        <w:tabs>
          <w:tab w:val="clear" w:pos="567"/>
        </w:tabs>
        <w:rPr>
          <w:lang w:eastAsia="en-AU"/>
        </w:rPr>
      </w:pPr>
    </w:p>
    <w:bookmarkEnd w:id="2"/>
    <w:p w14:paraId="5C927D42" w14:textId="54EFDF6B" w:rsidR="00D833A7" w:rsidRDefault="00D833A7" w:rsidP="00253FC9">
      <w:pPr>
        <w:pStyle w:val="Heading4"/>
        <w:numPr>
          <w:ilvl w:val="0"/>
          <w:numId w:val="36"/>
        </w:numPr>
        <w:tabs>
          <w:tab w:val="clear" w:pos="567"/>
        </w:tabs>
        <w:ind w:left="567" w:hanging="567"/>
      </w:pPr>
      <w:r>
        <w:lastRenderedPageBreak/>
        <w:t xml:space="preserve">Low Risk </w:t>
      </w:r>
      <w:r w:rsidR="00B73FA9">
        <w:t xml:space="preserve">Research </w:t>
      </w:r>
      <w:r w:rsidR="004A6747">
        <w:t xml:space="preserve">Non-HREC </w:t>
      </w:r>
      <w:r w:rsidR="00B73FA9">
        <w:t>Reviews</w:t>
      </w:r>
    </w:p>
    <w:p w14:paraId="7ADC2C6F" w14:textId="1FF30440" w:rsidR="00D833A7" w:rsidRDefault="00D833A7" w:rsidP="00D833A7">
      <w:pPr>
        <w:pStyle w:val="BulletedListLevel1"/>
      </w:pPr>
      <w:r>
        <w:t xml:space="preserve">In accordance with the </w:t>
      </w:r>
      <w:r w:rsidRPr="00A57EF3">
        <w:rPr>
          <w:i/>
          <w:iCs/>
        </w:rPr>
        <w:t>L</w:t>
      </w:r>
      <w:r>
        <w:rPr>
          <w:i/>
          <w:iCs/>
        </w:rPr>
        <w:t>R</w:t>
      </w:r>
      <w:r w:rsidRPr="00A57EF3">
        <w:rPr>
          <w:i/>
          <w:iCs/>
        </w:rPr>
        <w:t>R Procedure</w:t>
      </w:r>
      <w:r>
        <w:t>, the Tasmanian publicly funded health system</w:t>
      </w:r>
      <w:r w:rsidRPr="00E94EFC">
        <w:rPr>
          <w:rFonts w:cs="Arial"/>
          <w:color w:val="000000"/>
          <w:lang w:eastAsia="en-AU"/>
        </w:rPr>
        <w:t xml:space="preserve"> </w:t>
      </w:r>
      <w:r w:rsidR="00AB5E3C">
        <w:rPr>
          <w:rFonts w:cs="Arial"/>
          <w:color w:val="000000"/>
          <w:lang w:eastAsia="en-AU"/>
        </w:rPr>
        <w:t>will</w:t>
      </w:r>
      <w:r w:rsidR="00AB5E3C" w:rsidRPr="00E94EFC">
        <w:rPr>
          <w:rFonts w:cs="Arial"/>
          <w:color w:val="000000"/>
          <w:lang w:eastAsia="en-AU"/>
        </w:rPr>
        <w:t xml:space="preserve"> </w:t>
      </w:r>
      <w:r w:rsidRPr="00E94EFC">
        <w:rPr>
          <w:rFonts w:cs="Arial"/>
          <w:color w:val="000000"/>
          <w:lang w:eastAsia="en-AU"/>
        </w:rPr>
        <w:t xml:space="preserve">conduct </w:t>
      </w:r>
      <w:r>
        <w:rPr>
          <w:rFonts w:cs="Arial"/>
          <w:color w:val="000000"/>
          <w:lang w:eastAsia="en-AU"/>
        </w:rPr>
        <w:t>non-HREC</w:t>
      </w:r>
      <w:r w:rsidRPr="00E94EFC">
        <w:rPr>
          <w:rFonts w:cs="Arial"/>
          <w:color w:val="000000"/>
          <w:lang w:eastAsia="en-AU"/>
        </w:rPr>
        <w:t xml:space="preserve"> </w:t>
      </w:r>
      <w:r>
        <w:rPr>
          <w:rFonts w:cs="Arial"/>
          <w:color w:val="000000"/>
          <w:lang w:eastAsia="en-AU"/>
        </w:rPr>
        <w:t xml:space="preserve">level of </w:t>
      </w:r>
      <w:r w:rsidRPr="00E94EFC">
        <w:rPr>
          <w:rFonts w:cs="Arial"/>
          <w:color w:val="000000"/>
          <w:lang w:eastAsia="en-AU"/>
        </w:rPr>
        <w:t>reviews and grant ethic</w:t>
      </w:r>
      <w:r w:rsidR="00AB5E3C">
        <w:rPr>
          <w:rFonts w:cs="Arial"/>
          <w:color w:val="000000"/>
          <w:lang w:eastAsia="en-AU"/>
        </w:rPr>
        <w:t xml:space="preserve">al </w:t>
      </w:r>
      <w:r w:rsidR="00987248" w:rsidRPr="00E94EFC">
        <w:rPr>
          <w:rFonts w:cs="Arial"/>
          <w:color w:val="000000"/>
          <w:lang w:eastAsia="en-AU"/>
        </w:rPr>
        <w:t>approva</w:t>
      </w:r>
      <w:r w:rsidR="00987248">
        <w:rPr>
          <w:rFonts w:cs="Arial"/>
          <w:color w:val="000000"/>
          <w:lang w:eastAsia="en-AU"/>
        </w:rPr>
        <w:t>l</w:t>
      </w:r>
      <w:r w:rsidR="00DF728E">
        <w:rPr>
          <w:rFonts w:cs="Arial"/>
          <w:color w:val="000000"/>
          <w:lang w:eastAsia="en-AU"/>
        </w:rPr>
        <w:t xml:space="preserve"> for </w:t>
      </w:r>
      <w:r>
        <w:rPr>
          <w:rFonts w:cs="Calibri"/>
        </w:rPr>
        <w:t xml:space="preserve">low-risk </w:t>
      </w:r>
      <w:r w:rsidRPr="00E94EFC">
        <w:rPr>
          <w:rFonts w:cs="Calibri"/>
        </w:rPr>
        <w:t>h</w:t>
      </w:r>
      <w:r w:rsidR="001101E3">
        <w:rPr>
          <w:rFonts w:cs="Calibri"/>
        </w:rPr>
        <w:t>ealth and medical</w:t>
      </w:r>
      <w:r w:rsidRPr="00E94EFC">
        <w:rPr>
          <w:rFonts w:cs="Calibri"/>
        </w:rPr>
        <w:t xml:space="preserve"> research projects </w:t>
      </w:r>
      <w:r w:rsidR="00AB5E3C">
        <w:rPr>
          <w:rFonts w:cs="Calibri"/>
        </w:rPr>
        <w:t xml:space="preserve">conducted </w:t>
      </w:r>
      <w:r>
        <w:t>within</w:t>
      </w:r>
      <w:r w:rsidR="00AB5E3C">
        <w:t xml:space="preserve"> its </w:t>
      </w:r>
      <w:r w:rsidR="00987248">
        <w:t>sites.</w:t>
      </w:r>
    </w:p>
    <w:p w14:paraId="6BA187E5" w14:textId="44A9C7D6" w:rsidR="00D833A7" w:rsidRDefault="00D833A7" w:rsidP="00530BB3">
      <w:pPr>
        <w:pStyle w:val="BulletedListLevel1"/>
        <w:numPr>
          <w:ilvl w:val="0"/>
          <w:numId w:val="1"/>
        </w:numPr>
        <w:spacing w:before="120" w:after="120"/>
        <w:rPr>
          <w:lang w:eastAsia="en-AU"/>
        </w:rPr>
      </w:pPr>
      <w:r w:rsidRPr="00DB1E9B">
        <w:rPr>
          <w:rFonts w:cs="Arial"/>
          <w:color w:val="000000"/>
          <w:lang w:eastAsia="en-AU"/>
        </w:rPr>
        <w:t>P</w:t>
      </w:r>
      <w:r>
        <w:t xml:space="preserve">rojects meeting the criteria for </w:t>
      </w:r>
      <w:proofErr w:type="gramStart"/>
      <w:r w:rsidR="004A6747">
        <w:t>low</w:t>
      </w:r>
      <w:r w:rsidR="00530BB3">
        <w:t>-</w:t>
      </w:r>
      <w:r w:rsidR="004A6747">
        <w:t>risk</w:t>
      </w:r>
      <w:proofErr w:type="gramEnd"/>
      <w:r w:rsidR="004A6747">
        <w:t xml:space="preserve"> </w:t>
      </w:r>
      <w:r>
        <w:t xml:space="preserve">according to the </w:t>
      </w:r>
      <w:r w:rsidRPr="00DB1E9B">
        <w:rPr>
          <w:i/>
          <w:iCs/>
        </w:rPr>
        <w:t xml:space="preserve">National Statement </w:t>
      </w:r>
      <w:r w:rsidR="00AB5E3C">
        <w:rPr>
          <w:i/>
          <w:iCs/>
        </w:rPr>
        <w:t xml:space="preserve">and </w:t>
      </w:r>
      <w:r w:rsidR="00530BB3">
        <w:rPr>
          <w:i/>
          <w:iCs/>
        </w:rPr>
        <w:t>the LRR Procedure</w:t>
      </w:r>
      <w:r w:rsidR="00AB5E3C">
        <w:rPr>
          <w:i/>
          <w:iCs/>
        </w:rPr>
        <w:t xml:space="preserve"> </w:t>
      </w:r>
      <w:r>
        <w:t xml:space="preserve">must </w:t>
      </w:r>
      <w:r w:rsidR="00530BB3">
        <w:t>be submitted on</w:t>
      </w:r>
      <w:r>
        <w:t xml:space="preserve"> </w:t>
      </w:r>
      <w:r w:rsidR="004A6747">
        <w:t>a</w:t>
      </w:r>
      <w:r>
        <w:t xml:space="preserve"> </w:t>
      </w:r>
      <w:r w:rsidRPr="00DB1E9B">
        <w:rPr>
          <w:i/>
          <w:iCs/>
        </w:rPr>
        <w:t>Human Research Ethics Application</w:t>
      </w:r>
      <w:r>
        <w:t xml:space="preserve"> (HREA)</w:t>
      </w:r>
      <w:r w:rsidR="00530BB3">
        <w:t xml:space="preserve">. Applicants must also submit a </w:t>
      </w:r>
      <w:r w:rsidR="004A6747">
        <w:t>Protocol and a</w:t>
      </w:r>
      <w:r>
        <w:t xml:space="preserve">ll Supporting Documents. </w:t>
      </w:r>
      <w:r w:rsidRPr="009B0CD1">
        <w:t xml:space="preserve">Refer </w:t>
      </w:r>
      <w:r w:rsidRPr="009B0CD1">
        <w:rPr>
          <w:i/>
          <w:iCs/>
        </w:rPr>
        <w:t>Protocol and Supporting Documents Procedure</w:t>
      </w:r>
      <w:r>
        <w:t xml:space="preserve">. </w:t>
      </w:r>
    </w:p>
    <w:p w14:paraId="2EE759D9" w14:textId="15D6A979" w:rsidR="00D833A7" w:rsidRPr="00DF728E" w:rsidRDefault="00D833A7" w:rsidP="00D833A7">
      <w:pPr>
        <w:pStyle w:val="BulletedListLevel1"/>
        <w:numPr>
          <w:ilvl w:val="0"/>
          <w:numId w:val="1"/>
        </w:numPr>
        <w:spacing w:before="120" w:after="120"/>
        <w:rPr>
          <w:lang w:eastAsia="en-AU"/>
        </w:rPr>
      </w:pPr>
      <w:r w:rsidRPr="00DB1E9B">
        <w:rPr>
          <w:rFonts w:cs="Arial"/>
          <w:color w:val="000000"/>
          <w:lang w:eastAsia="en-AU"/>
        </w:rPr>
        <w:t xml:space="preserve">In accordance with the </w:t>
      </w:r>
      <w:r w:rsidRPr="00DB1E9B">
        <w:rPr>
          <w:rFonts w:cs="Arial"/>
          <w:szCs w:val="22"/>
        </w:rPr>
        <w:t xml:space="preserve">National Mutual Acceptance (NMA) Scheme a research project should only undergo one single ethical review. </w:t>
      </w:r>
      <w:r w:rsidR="00005AEF" w:rsidRPr="00DB1E9B">
        <w:rPr>
          <w:rFonts w:cs="Arial"/>
          <w:szCs w:val="22"/>
        </w:rPr>
        <w:t xml:space="preserve">Therefore, </w:t>
      </w:r>
      <w:r w:rsidR="00005AEF">
        <w:rPr>
          <w:rFonts w:cs="Arial"/>
          <w:szCs w:val="22"/>
        </w:rPr>
        <w:t>only</w:t>
      </w:r>
      <w:r w:rsidR="00DF728E">
        <w:rPr>
          <w:rFonts w:cs="Arial"/>
          <w:szCs w:val="22"/>
        </w:rPr>
        <w:t xml:space="preserve"> </w:t>
      </w:r>
      <w:r w:rsidRPr="00DB1E9B">
        <w:rPr>
          <w:rFonts w:cs="Arial"/>
          <w:szCs w:val="22"/>
        </w:rPr>
        <w:t>one</w:t>
      </w:r>
      <w:r w:rsidR="004A6747">
        <w:rPr>
          <w:rFonts w:cs="Arial"/>
          <w:szCs w:val="22"/>
        </w:rPr>
        <w:t xml:space="preserve"> HREA </w:t>
      </w:r>
      <w:r w:rsidR="00AB5E3C">
        <w:rPr>
          <w:rFonts w:cs="Arial"/>
          <w:szCs w:val="22"/>
        </w:rPr>
        <w:t xml:space="preserve">is required </w:t>
      </w:r>
      <w:r w:rsidRPr="00DB1E9B">
        <w:rPr>
          <w:rFonts w:cs="Arial"/>
          <w:szCs w:val="22"/>
        </w:rPr>
        <w:t xml:space="preserve">for each research project </w:t>
      </w:r>
      <w:r w:rsidR="000E7076">
        <w:rPr>
          <w:rFonts w:cs="Arial"/>
          <w:szCs w:val="22"/>
        </w:rPr>
        <w:t xml:space="preserve">as it will cover </w:t>
      </w:r>
      <w:r w:rsidRPr="00DB1E9B">
        <w:rPr>
          <w:rFonts w:cs="Arial"/>
          <w:szCs w:val="22"/>
        </w:rPr>
        <w:t>all Tasmanian publicly funded health service</w:t>
      </w:r>
      <w:r w:rsidR="00DF728E">
        <w:rPr>
          <w:rFonts w:cs="Arial"/>
          <w:szCs w:val="22"/>
        </w:rPr>
        <w:t xml:space="preserve"> sites.</w:t>
      </w:r>
      <w:r w:rsidR="005D1855">
        <w:rPr>
          <w:rFonts w:cs="Arial"/>
          <w:szCs w:val="22"/>
        </w:rPr>
        <w:t xml:space="preserve"> </w:t>
      </w:r>
    </w:p>
    <w:p w14:paraId="279ADBC4" w14:textId="60DE933F" w:rsidR="00D833A7" w:rsidRDefault="00D833A7" w:rsidP="00534DA7">
      <w:pPr>
        <w:pStyle w:val="BulletedListLevel1"/>
      </w:pPr>
      <w:r>
        <w:t xml:space="preserve">The </w:t>
      </w:r>
      <w:r w:rsidR="000E7076">
        <w:t>committee</w:t>
      </w:r>
      <w:r>
        <w:t xml:space="preserve"> </w:t>
      </w:r>
      <w:r w:rsidR="004F18DD">
        <w:t>conducting</w:t>
      </w:r>
      <w:r>
        <w:t xml:space="preserve"> the non-HREC level of review and grant</w:t>
      </w:r>
      <w:r w:rsidR="004A6747">
        <w:t>ing</w:t>
      </w:r>
      <w:r>
        <w:t xml:space="preserve"> </w:t>
      </w:r>
      <w:r w:rsidR="001101E3">
        <w:t>ethical</w:t>
      </w:r>
      <w:r>
        <w:t xml:space="preserve"> approval </w:t>
      </w:r>
      <w:r w:rsidR="003509F6">
        <w:t xml:space="preserve">must </w:t>
      </w:r>
      <w:r>
        <w:t xml:space="preserve">be independent </w:t>
      </w:r>
      <w:r w:rsidR="004F18DD">
        <w:t>e.g.,</w:t>
      </w:r>
      <w:r>
        <w:t xml:space="preserve"> the </w:t>
      </w:r>
      <w:r w:rsidR="004F18DD">
        <w:t>Head of Department (</w:t>
      </w:r>
      <w:proofErr w:type="spellStart"/>
      <w:r w:rsidR="004F18DD">
        <w:t>HoD</w:t>
      </w:r>
      <w:proofErr w:type="spellEnd"/>
      <w:r w:rsidR="004F18DD">
        <w:t>)</w:t>
      </w:r>
      <w:r w:rsidR="00DF728E">
        <w:t xml:space="preserve"> who is</w:t>
      </w:r>
      <w:r>
        <w:t xml:space="preserve"> responsible for approving the Financial Analysis as part of the </w:t>
      </w:r>
      <w:r w:rsidR="004F18DD">
        <w:t>site-specific</w:t>
      </w:r>
      <w:r>
        <w:t xml:space="preserve"> assessment</w:t>
      </w:r>
      <w:r w:rsidR="004F18DD">
        <w:t xml:space="preserve"> </w:t>
      </w:r>
      <w:r w:rsidR="003509F6">
        <w:t xml:space="preserve">cannot </w:t>
      </w:r>
      <w:r w:rsidR="004F18DD">
        <w:t xml:space="preserve">not </w:t>
      </w:r>
      <w:r w:rsidR="00DF728E">
        <w:t>also be the authority to</w:t>
      </w:r>
      <w:r w:rsidR="004F18DD">
        <w:t xml:space="preserve"> give ethic</w:t>
      </w:r>
      <w:r w:rsidR="001101E3">
        <w:t>al</w:t>
      </w:r>
      <w:r w:rsidR="004F18DD">
        <w:t xml:space="preserve"> approval.</w:t>
      </w:r>
    </w:p>
    <w:p w14:paraId="7AEDB575" w14:textId="17EF3C7F" w:rsidR="00D833A7" w:rsidRDefault="00D833A7" w:rsidP="00D833A7">
      <w:pPr>
        <w:pStyle w:val="BulletedListLevel1"/>
      </w:pPr>
      <w:r>
        <w:t xml:space="preserve">The committee </w:t>
      </w:r>
      <w:r w:rsidR="00530BB3">
        <w:t xml:space="preserve">conducting the non-HREC review and granting </w:t>
      </w:r>
      <w:r w:rsidR="00DF728E">
        <w:t xml:space="preserve">approval </w:t>
      </w:r>
      <w:r>
        <w:t xml:space="preserve">must undertake ethical training and have </w:t>
      </w:r>
      <w:r w:rsidR="006813E3">
        <w:t xml:space="preserve">a </w:t>
      </w:r>
      <w:r>
        <w:t xml:space="preserve">delegated authority to grant </w:t>
      </w:r>
      <w:r w:rsidR="00DF728E">
        <w:t>a h</w:t>
      </w:r>
      <w:r w:rsidR="001101E3">
        <w:t>ealth and medical</w:t>
      </w:r>
      <w:r w:rsidR="00DF728E">
        <w:t xml:space="preserve"> </w:t>
      </w:r>
      <w:r>
        <w:t>research ethics approval</w:t>
      </w:r>
      <w:r w:rsidR="001101E3">
        <w:t xml:space="preserve"> within the Tasmanian publicly funded health service. </w:t>
      </w:r>
      <w:r>
        <w:t xml:space="preserve"> </w:t>
      </w:r>
    </w:p>
    <w:p w14:paraId="0C573FBF" w14:textId="0348311B" w:rsidR="00D833A7" w:rsidRDefault="00D833A7" w:rsidP="00D833A7">
      <w:pPr>
        <w:pStyle w:val="BulletedListLevel1"/>
      </w:pPr>
      <w:r>
        <w:t xml:space="preserve">The committee must have a committee charter, guiding </w:t>
      </w:r>
      <w:proofErr w:type="gramStart"/>
      <w:r>
        <w:t>principles</w:t>
      </w:r>
      <w:proofErr w:type="gramEnd"/>
      <w:r>
        <w:t xml:space="preserve"> and processes in which to review, approve (and monitor) LRR projects, including authority to refer the project to the Q</w:t>
      </w:r>
      <w:r w:rsidR="000E7076">
        <w:t xml:space="preserve">uality </w:t>
      </w:r>
      <w:r>
        <w:t>I</w:t>
      </w:r>
      <w:r w:rsidR="000E7076">
        <w:t>mprovement</w:t>
      </w:r>
      <w:r>
        <w:t xml:space="preserve"> pathway or refer </w:t>
      </w:r>
      <w:r w:rsidR="003509F6">
        <w:t xml:space="preserve">to </w:t>
      </w:r>
      <w:r w:rsidR="000E7076">
        <w:t>a</w:t>
      </w:r>
      <w:r>
        <w:t xml:space="preserve"> </w:t>
      </w:r>
      <w:r w:rsidR="003509F6">
        <w:t xml:space="preserve">full </w:t>
      </w:r>
      <w:r>
        <w:t>HREC</w:t>
      </w:r>
      <w:r w:rsidR="000E7076">
        <w:t xml:space="preserve"> review</w:t>
      </w:r>
      <w:r>
        <w:t xml:space="preserve">. </w:t>
      </w:r>
    </w:p>
    <w:p w14:paraId="0485C462" w14:textId="2DDD93E6" w:rsidR="000E7076" w:rsidRDefault="00D833A7" w:rsidP="00D833A7">
      <w:pPr>
        <w:pStyle w:val="BulletedListLevel1"/>
        <w:numPr>
          <w:ilvl w:val="0"/>
          <w:numId w:val="1"/>
        </w:numPr>
        <w:spacing w:before="120" w:after="120"/>
        <w:rPr>
          <w:lang w:eastAsia="en-AU"/>
        </w:rPr>
      </w:pPr>
      <w:r>
        <w:t xml:space="preserve">The committee must document decisions, maintain </w:t>
      </w:r>
      <w:proofErr w:type="gramStart"/>
      <w:r>
        <w:t>records</w:t>
      </w:r>
      <w:proofErr w:type="gramEnd"/>
      <w:r>
        <w:t xml:space="preserve"> and </w:t>
      </w:r>
      <w:r w:rsidR="00530BB3">
        <w:t xml:space="preserve">communicate </w:t>
      </w:r>
      <w:r>
        <w:t>decisions to the applicant</w:t>
      </w:r>
      <w:r w:rsidR="000E7076">
        <w:t xml:space="preserve"> via an approval letter</w:t>
      </w:r>
      <w:r>
        <w:t>.</w:t>
      </w:r>
    </w:p>
    <w:p w14:paraId="0A3527C8" w14:textId="1B2C109B" w:rsidR="00D833A7" w:rsidRPr="00BC1944" w:rsidRDefault="00D833A7" w:rsidP="00D833A7">
      <w:pPr>
        <w:pStyle w:val="BulletedListLevel1"/>
        <w:numPr>
          <w:ilvl w:val="0"/>
          <w:numId w:val="1"/>
        </w:numPr>
        <w:spacing w:before="120" w:after="120"/>
        <w:rPr>
          <w:lang w:eastAsia="en-AU"/>
        </w:rPr>
      </w:pPr>
      <w:r>
        <w:t xml:space="preserve"> </w:t>
      </w:r>
      <w:r>
        <w:rPr>
          <w:lang w:eastAsia="en-AU"/>
        </w:rPr>
        <w:t>A</w:t>
      </w:r>
      <w:r w:rsidRPr="00BC1944">
        <w:rPr>
          <w:lang w:eastAsia="en-AU"/>
        </w:rPr>
        <w:t xml:space="preserve">pproval letters should clearly: </w:t>
      </w:r>
    </w:p>
    <w:p w14:paraId="3443C945" w14:textId="64298EF5" w:rsidR="00D833A7" w:rsidRPr="00BC1944" w:rsidRDefault="00D833A7" w:rsidP="00D833A7">
      <w:pPr>
        <w:pStyle w:val="BulletedListLevel1"/>
        <w:numPr>
          <w:ilvl w:val="0"/>
          <w:numId w:val="24"/>
        </w:numPr>
        <w:spacing w:before="120" w:after="120"/>
        <w:ind w:left="1134" w:hanging="567"/>
        <w:rPr>
          <w:szCs w:val="22"/>
          <w:lang w:eastAsia="en-AU"/>
        </w:rPr>
      </w:pPr>
      <w:r w:rsidRPr="00BC1944">
        <w:rPr>
          <w:szCs w:val="22"/>
          <w:lang w:eastAsia="en-AU"/>
        </w:rPr>
        <w:t xml:space="preserve">List </w:t>
      </w:r>
      <w:r>
        <w:rPr>
          <w:szCs w:val="22"/>
          <w:lang w:eastAsia="en-AU"/>
        </w:rPr>
        <w:t xml:space="preserve">all sites </w:t>
      </w:r>
      <w:r w:rsidRPr="00BC1944">
        <w:rPr>
          <w:szCs w:val="22"/>
          <w:lang w:eastAsia="en-AU"/>
        </w:rPr>
        <w:t xml:space="preserve">that </w:t>
      </w:r>
      <w:r>
        <w:rPr>
          <w:szCs w:val="22"/>
          <w:lang w:eastAsia="en-AU"/>
        </w:rPr>
        <w:t xml:space="preserve">are approved </w:t>
      </w:r>
      <w:r w:rsidR="004D6D3F">
        <w:rPr>
          <w:szCs w:val="22"/>
          <w:lang w:eastAsia="en-AU"/>
        </w:rPr>
        <w:t>that are approved from the ethical review</w:t>
      </w:r>
      <w:r w:rsidRPr="00BC1944">
        <w:rPr>
          <w:szCs w:val="22"/>
          <w:lang w:eastAsia="en-AU"/>
        </w:rPr>
        <w:t xml:space="preserve">. </w:t>
      </w:r>
    </w:p>
    <w:p w14:paraId="278D3CF3" w14:textId="295E37DA" w:rsidR="00D833A7" w:rsidRPr="00BC1944" w:rsidRDefault="00D833A7" w:rsidP="00D833A7">
      <w:pPr>
        <w:pStyle w:val="BulletedListLevel1"/>
        <w:numPr>
          <w:ilvl w:val="0"/>
          <w:numId w:val="24"/>
        </w:numPr>
        <w:spacing w:before="120" w:after="120"/>
        <w:ind w:left="1134" w:hanging="567"/>
        <w:rPr>
          <w:szCs w:val="22"/>
          <w:lang w:eastAsia="en-AU"/>
        </w:rPr>
      </w:pPr>
      <w:r w:rsidRPr="00BC1944">
        <w:rPr>
          <w:szCs w:val="22"/>
          <w:lang w:eastAsia="en-AU"/>
        </w:rPr>
        <w:t xml:space="preserve">State the </w:t>
      </w:r>
      <w:r>
        <w:rPr>
          <w:szCs w:val="22"/>
          <w:lang w:eastAsia="en-AU"/>
        </w:rPr>
        <w:t>ethic</w:t>
      </w:r>
      <w:r w:rsidR="000E7076">
        <w:rPr>
          <w:szCs w:val="22"/>
          <w:lang w:eastAsia="en-AU"/>
        </w:rPr>
        <w:t xml:space="preserve">al </w:t>
      </w:r>
      <w:r w:rsidRPr="00BC1944">
        <w:rPr>
          <w:szCs w:val="22"/>
          <w:lang w:eastAsia="en-AU"/>
        </w:rPr>
        <w:t xml:space="preserve">approval date and the duration of ethical approval. </w:t>
      </w:r>
    </w:p>
    <w:p w14:paraId="70680ACB" w14:textId="77777777" w:rsidR="00D833A7" w:rsidRPr="00BC1944" w:rsidRDefault="00D833A7" w:rsidP="00D833A7">
      <w:pPr>
        <w:pStyle w:val="BulletedListLevel1"/>
        <w:numPr>
          <w:ilvl w:val="0"/>
          <w:numId w:val="24"/>
        </w:numPr>
        <w:spacing w:before="120" w:after="120"/>
        <w:ind w:left="1134" w:hanging="567"/>
        <w:rPr>
          <w:szCs w:val="22"/>
          <w:lang w:eastAsia="en-AU"/>
        </w:rPr>
      </w:pPr>
      <w:r w:rsidRPr="00BC1944">
        <w:rPr>
          <w:szCs w:val="22"/>
          <w:lang w:eastAsia="en-AU"/>
        </w:rPr>
        <w:t xml:space="preserve">Specify the date on which the annual site progress report </w:t>
      </w:r>
      <w:r>
        <w:rPr>
          <w:szCs w:val="22"/>
          <w:lang w:eastAsia="en-AU"/>
        </w:rPr>
        <w:t>is due (Refer Monitoring)</w:t>
      </w:r>
      <w:r w:rsidRPr="00BC1944">
        <w:rPr>
          <w:szCs w:val="22"/>
          <w:lang w:eastAsia="en-AU"/>
        </w:rPr>
        <w:t xml:space="preserve">. </w:t>
      </w:r>
    </w:p>
    <w:p w14:paraId="627309C0" w14:textId="77777777" w:rsidR="00D833A7" w:rsidRPr="00BC1944" w:rsidRDefault="00D833A7" w:rsidP="00D833A7">
      <w:pPr>
        <w:pStyle w:val="BulletedListLevel1"/>
        <w:numPr>
          <w:ilvl w:val="0"/>
          <w:numId w:val="24"/>
        </w:numPr>
        <w:spacing w:before="120" w:after="120"/>
        <w:ind w:left="1134" w:hanging="567"/>
        <w:rPr>
          <w:szCs w:val="22"/>
          <w:lang w:eastAsia="en-AU"/>
        </w:rPr>
      </w:pPr>
      <w:r w:rsidRPr="00BC1944">
        <w:rPr>
          <w:szCs w:val="22"/>
          <w:lang w:eastAsia="en-AU"/>
        </w:rPr>
        <w:t>List documents, with version identification</w:t>
      </w:r>
      <w:r>
        <w:rPr>
          <w:szCs w:val="22"/>
          <w:lang w:eastAsia="en-AU"/>
        </w:rPr>
        <w:t xml:space="preserve"> and date</w:t>
      </w:r>
      <w:r w:rsidRPr="00BC1944">
        <w:rPr>
          <w:szCs w:val="22"/>
          <w:lang w:eastAsia="en-AU"/>
        </w:rPr>
        <w:t xml:space="preserve">, associated with the research project that was reviewed and approved. </w:t>
      </w:r>
    </w:p>
    <w:p w14:paraId="7249FC43" w14:textId="77777777" w:rsidR="00D833A7" w:rsidRDefault="00D833A7" w:rsidP="00D833A7">
      <w:pPr>
        <w:pStyle w:val="BulletedListLevel1"/>
        <w:numPr>
          <w:ilvl w:val="0"/>
          <w:numId w:val="24"/>
        </w:numPr>
        <w:spacing w:before="120" w:after="120"/>
        <w:ind w:left="1134" w:hanging="567"/>
        <w:rPr>
          <w:szCs w:val="22"/>
          <w:lang w:eastAsia="en-AU"/>
        </w:rPr>
      </w:pPr>
      <w:r w:rsidRPr="00BC1944">
        <w:rPr>
          <w:szCs w:val="22"/>
          <w:lang w:eastAsia="en-AU"/>
        </w:rPr>
        <w:t xml:space="preserve">Indicate that the research cannot commence at a listed site until site authorisation has been endorsed by the participating site. </w:t>
      </w:r>
    </w:p>
    <w:p w14:paraId="1B5F9DAA" w14:textId="59A15C16" w:rsidR="00D833A7" w:rsidRPr="00A225CD" w:rsidRDefault="00D833A7" w:rsidP="00D833A7">
      <w:pPr>
        <w:pStyle w:val="BulletedListLevel1"/>
        <w:keepLines/>
        <w:numPr>
          <w:ilvl w:val="0"/>
          <w:numId w:val="24"/>
        </w:numPr>
        <w:spacing w:before="120" w:after="120"/>
        <w:ind w:left="1134" w:hanging="567"/>
        <w:rPr>
          <w:lang w:eastAsia="en-AU"/>
        </w:rPr>
      </w:pPr>
      <w:r w:rsidRPr="00A57EF3">
        <w:rPr>
          <w:szCs w:val="22"/>
          <w:lang w:eastAsia="en-AU"/>
        </w:rPr>
        <w:t xml:space="preserve">Specify the conditions of the ethics approval and any further specific approval requirements. </w:t>
      </w:r>
    </w:p>
    <w:p w14:paraId="6AB1A2EC" w14:textId="625DA899" w:rsidR="005D1855" w:rsidRPr="009F00D0" w:rsidRDefault="005D1855" w:rsidP="00253FC9">
      <w:pPr>
        <w:pStyle w:val="Heading4"/>
        <w:numPr>
          <w:ilvl w:val="0"/>
          <w:numId w:val="36"/>
        </w:numPr>
        <w:tabs>
          <w:tab w:val="clear" w:pos="567"/>
        </w:tabs>
        <w:ind w:left="567" w:hanging="567"/>
      </w:pPr>
      <w:r>
        <w:t xml:space="preserve">Monitoring Approved Low Risk Research Projects </w:t>
      </w:r>
    </w:p>
    <w:p w14:paraId="3BC419D1" w14:textId="78ED0D78" w:rsidR="005D1855" w:rsidRPr="009B0CD1" w:rsidRDefault="005D1855" w:rsidP="005D1855">
      <w:pPr>
        <w:pStyle w:val="BulletedListLevel1"/>
        <w:numPr>
          <w:ilvl w:val="0"/>
          <w:numId w:val="1"/>
        </w:numPr>
        <w:rPr>
          <w:i/>
          <w:iCs/>
          <w:color w:val="0000FF"/>
          <w:lang w:eastAsia="en-AU"/>
        </w:rPr>
      </w:pPr>
      <w:r>
        <w:rPr>
          <w:lang w:eastAsia="en-AU"/>
        </w:rPr>
        <w:t>The review</w:t>
      </w:r>
      <w:r w:rsidR="000E7076">
        <w:rPr>
          <w:lang w:eastAsia="en-AU"/>
        </w:rPr>
        <w:t>ing committee</w:t>
      </w:r>
      <w:r>
        <w:rPr>
          <w:lang w:eastAsia="en-AU"/>
        </w:rPr>
        <w:t xml:space="preserve"> is also responsible for monitoring the approved project in the same manner as a </w:t>
      </w:r>
      <w:r>
        <w:rPr>
          <w:szCs w:val="22"/>
        </w:rPr>
        <w:t xml:space="preserve">human research project approved by a full HREC in accordance with the </w:t>
      </w:r>
      <w:r>
        <w:rPr>
          <w:i/>
          <w:iCs/>
          <w:szCs w:val="22"/>
        </w:rPr>
        <w:t xml:space="preserve">National Statement on Ethical Conduct in Human Research </w:t>
      </w:r>
      <w:r>
        <w:rPr>
          <w:szCs w:val="22"/>
        </w:rPr>
        <w:t xml:space="preserve">(NHMRC, 2007). </w:t>
      </w:r>
      <w:r w:rsidRPr="009B0CD1">
        <w:rPr>
          <w:szCs w:val="22"/>
        </w:rPr>
        <w:t>Refer</w:t>
      </w:r>
      <w:r w:rsidR="009B0CD1" w:rsidRPr="009B0CD1">
        <w:rPr>
          <w:szCs w:val="22"/>
        </w:rPr>
        <w:t>:</w:t>
      </w:r>
      <w:r w:rsidRPr="009B0CD1">
        <w:rPr>
          <w:szCs w:val="22"/>
        </w:rPr>
        <w:t xml:space="preserve"> </w:t>
      </w:r>
      <w:r w:rsidRPr="009B0CD1">
        <w:rPr>
          <w:i/>
          <w:iCs/>
          <w:szCs w:val="22"/>
        </w:rPr>
        <w:t>Safety and Monitoring Procedure</w:t>
      </w:r>
      <w:r w:rsidRPr="009B0CD1">
        <w:rPr>
          <w:szCs w:val="22"/>
        </w:rPr>
        <w:t>.</w:t>
      </w:r>
      <w:r w:rsidRPr="009B0CD1">
        <w:rPr>
          <w:i/>
          <w:iCs/>
          <w:szCs w:val="22"/>
        </w:rPr>
        <w:t xml:space="preserve"> </w:t>
      </w:r>
    </w:p>
    <w:p w14:paraId="6D1F37D9" w14:textId="79D91BBE" w:rsidR="005D1855" w:rsidRDefault="005D1855" w:rsidP="005D1855">
      <w:pPr>
        <w:pStyle w:val="BulletedListLevel1"/>
        <w:numPr>
          <w:ilvl w:val="0"/>
          <w:numId w:val="1"/>
        </w:numPr>
        <w:rPr>
          <w:lang w:eastAsia="en-AU"/>
        </w:rPr>
      </w:pPr>
      <w:r w:rsidRPr="009F00D0">
        <w:rPr>
          <w:lang w:eastAsia="en-AU"/>
        </w:rPr>
        <w:lastRenderedPageBreak/>
        <w:t>Annual or more frequent progress reports to the reviewing</w:t>
      </w:r>
      <w:r>
        <w:rPr>
          <w:lang w:eastAsia="en-AU"/>
        </w:rPr>
        <w:t xml:space="preserve"> committee </w:t>
      </w:r>
      <w:r w:rsidRPr="009F00D0">
        <w:rPr>
          <w:lang w:eastAsia="en-AU"/>
        </w:rPr>
        <w:t>should be provided by the C</w:t>
      </w:r>
      <w:r w:rsidR="003509F6">
        <w:rPr>
          <w:lang w:eastAsia="en-AU"/>
        </w:rPr>
        <w:t>oordinating Principal Investigator (C</w:t>
      </w:r>
      <w:r w:rsidRPr="009F00D0">
        <w:rPr>
          <w:lang w:eastAsia="en-AU"/>
        </w:rPr>
        <w:t>P</w:t>
      </w:r>
      <w:r w:rsidR="003509F6">
        <w:rPr>
          <w:lang w:eastAsia="en-AU"/>
        </w:rPr>
        <w:t>)</w:t>
      </w:r>
      <w:r w:rsidRPr="009F00D0">
        <w:rPr>
          <w:lang w:eastAsia="en-AU"/>
        </w:rPr>
        <w:t xml:space="preserve">I to maintain the approval for the designated period. Continuing approval will be contingent upon receipt of an annual (or more frequent) report. </w:t>
      </w:r>
      <w:r>
        <w:rPr>
          <w:lang w:eastAsia="en-AU"/>
        </w:rPr>
        <w:t xml:space="preserve"> </w:t>
      </w:r>
      <w:r w:rsidRPr="009F00D0">
        <w:rPr>
          <w:lang w:eastAsia="en-AU"/>
        </w:rPr>
        <w:t xml:space="preserve">An annual progress report will be due on the </w:t>
      </w:r>
      <w:r w:rsidRPr="005C5FB8">
        <w:rPr>
          <w:b/>
          <w:bCs/>
          <w:lang w:eastAsia="en-AU"/>
        </w:rPr>
        <w:t xml:space="preserve">anniversary date of HREC approval </w:t>
      </w:r>
      <w:r w:rsidRPr="009F00D0">
        <w:rPr>
          <w:lang w:eastAsia="en-AU"/>
        </w:rPr>
        <w:t xml:space="preserve">(not on the anniversary date of site authorisation or project commencement). </w:t>
      </w:r>
    </w:p>
    <w:p w14:paraId="61AE6043" w14:textId="5F623B86" w:rsidR="005D1855" w:rsidRPr="005C5FB8" w:rsidRDefault="005D1855" w:rsidP="005D1855">
      <w:pPr>
        <w:pStyle w:val="BulletedListLevel1"/>
        <w:numPr>
          <w:ilvl w:val="0"/>
          <w:numId w:val="1"/>
        </w:numPr>
        <w:rPr>
          <w:lang w:eastAsia="en-AU"/>
        </w:rPr>
      </w:pPr>
      <w:r>
        <w:rPr>
          <w:lang w:eastAsia="en-AU"/>
        </w:rPr>
        <w:t xml:space="preserve">Changes required to </w:t>
      </w:r>
      <w:r w:rsidRPr="005C5FB8">
        <w:rPr>
          <w:lang w:eastAsia="en-AU"/>
        </w:rPr>
        <w:t xml:space="preserve">an approved human research project must be submitted to the </w:t>
      </w:r>
      <w:r>
        <w:rPr>
          <w:lang w:eastAsia="en-AU"/>
        </w:rPr>
        <w:t xml:space="preserve">committee </w:t>
      </w:r>
      <w:r w:rsidRPr="005C5FB8">
        <w:rPr>
          <w:lang w:eastAsia="en-AU"/>
        </w:rPr>
        <w:t xml:space="preserve">as an </w:t>
      </w:r>
      <w:r w:rsidR="00D9437D">
        <w:rPr>
          <w:lang w:eastAsia="en-AU"/>
        </w:rPr>
        <w:t>A</w:t>
      </w:r>
      <w:r w:rsidRPr="005C5FB8">
        <w:rPr>
          <w:lang w:eastAsia="en-AU"/>
        </w:rPr>
        <w:t xml:space="preserve">mendment. This may include, but is not limited to, a change to the protocol or an approved document or addition of a new site. </w:t>
      </w:r>
    </w:p>
    <w:p w14:paraId="79AFE1D9" w14:textId="5A71E2ED" w:rsidR="005D1855" w:rsidRDefault="005D1855" w:rsidP="005D1855">
      <w:pPr>
        <w:pStyle w:val="BulletedListLevel1"/>
        <w:numPr>
          <w:ilvl w:val="0"/>
          <w:numId w:val="1"/>
        </w:numPr>
        <w:rPr>
          <w:lang w:eastAsia="en-AU"/>
        </w:rPr>
      </w:pPr>
      <w:r>
        <w:rPr>
          <w:lang w:eastAsia="en-AU"/>
        </w:rPr>
        <w:t>Safety events, particularly breaches should be reported on the Safety Reporting Learning System</w:t>
      </w:r>
      <w:r w:rsidRPr="005C5FB8">
        <w:rPr>
          <w:lang w:eastAsia="en-AU"/>
        </w:rPr>
        <w:t xml:space="preserve"> </w:t>
      </w:r>
      <w:r>
        <w:rPr>
          <w:lang w:eastAsia="en-AU"/>
        </w:rPr>
        <w:t xml:space="preserve">by the </w:t>
      </w:r>
      <w:r w:rsidRPr="005C5FB8">
        <w:rPr>
          <w:lang w:eastAsia="en-AU"/>
        </w:rPr>
        <w:t xml:space="preserve">responsible investigator as soon as possible. The </w:t>
      </w:r>
      <w:r>
        <w:rPr>
          <w:lang w:eastAsia="en-AU"/>
        </w:rPr>
        <w:t xml:space="preserve">committee </w:t>
      </w:r>
      <w:r w:rsidR="00D9437D">
        <w:rPr>
          <w:lang w:eastAsia="en-AU"/>
        </w:rPr>
        <w:t>must</w:t>
      </w:r>
      <w:r w:rsidR="00D9437D" w:rsidRPr="005C5FB8">
        <w:rPr>
          <w:lang w:eastAsia="en-AU"/>
        </w:rPr>
        <w:t xml:space="preserve"> </w:t>
      </w:r>
      <w:r w:rsidRPr="005C5FB8">
        <w:rPr>
          <w:lang w:eastAsia="en-AU"/>
        </w:rPr>
        <w:t>then be fully informed, and an ethical decision made</w:t>
      </w:r>
      <w:r w:rsidR="00D9437D">
        <w:rPr>
          <w:lang w:eastAsia="en-AU"/>
        </w:rPr>
        <w:t xml:space="preserve"> to allow the research to </w:t>
      </w:r>
      <w:proofErr w:type="gramStart"/>
      <w:r w:rsidR="00D9437D">
        <w:rPr>
          <w:lang w:eastAsia="en-AU"/>
        </w:rPr>
        <w:t>continue</w:t>
      </w:r>
      <w:r w:rsidRPr="005C5FB8">
        <w:rPr>
          <w:lang w:eastAsia="en-AU"/>
        </w:rPr>
        <w:t>, before</w:t>
      </w:r>
      <w:proofErr w:type="gramEnd"/>
      <w:r w:rsidRPr="005C5FB8">
        <w:rPr>
          <w:lang w:eastAsia="en-AU"/>
        </w:rPr>
        <w:t xml:space="preserve"> a formal amendment process occurs. </w:t>
      </w:r>
    </w:p>
    <w:p w14:paraId="6B78372B" w14:textId="6AE50FFD" w:rsidR="005D1855" w:rsidRPr="00506231" w:rsidRDefault="005D1855" w:rsidP="005D1855">
      <w:pPr>
        <w:pStyle w:val="BulletedListLevel1"/>
        <w:numPr>
          <w:ilvl w:val="0"/>
          <w:numId w:val="1"/>
        </w:numPr>
        <w:spacing w:before="120" w:after="120"/>
      </w:pPr>
      <w:r w:rsidRPr="005C5FB8">
        <w:rPr>
          <w:szCs w:val="22"/>
        </w:rPr>
        <w:t xml:space="preserve">Extension of the </w:t>
      </w:r>
      <w:r>
        <w:rPr>
          <w:szCs w:val="22"/>
        </w:rPr>
        <w:t xml:space="preserve">ethical </w:t>
      </w:r>
      <w:r w:rsidRPr="005C5FB8">
        <w:rPr>
          <w:szCs w:val="22"/>
        </w:rPr>
        <w:t xml:space="preserve">approval period may be requested </w:t>
      </w:r>
      <w:r w:rsidR="00D9437D">
        <w:rPr>
          <w:szCs w:val="22"/>
        </w:rPr>
        <w:t>to</w:t>
      </w:r>
      <w:r w:rsidR="00D9437D" w:rsidRPr="005C5FB8">
        <w:rPr>
          <w:szCs w:val="22"/>
        </w:rPr>
        <w:t xml:space="preserve"> </w:t>
      </w:r>
      <w:r w:rsidRPr="005C5FB8">
        <w:rPr>
          <w:szCs w:val="22"/>
        </w:rPr>
        <w:t xml:space="preserve">the reviewing </w:t>
      </w:r>
      <w:r>
        <w:rPr>
          <w:lang w:eastAsia="en-AU"/>
        </w:rPr>
        <w:t xml:space="preserve">committee </w:t>
      </w:r>
      <w:r w:rsidRPr="005C5FB8">
        <w:rPr>
          <w:szCs w:val="22"/>
        </w:rPr>
        <w:t xml:space="preserve">prior to expiry of the approval period. </w:t>
      </w:r>
    </w:p>
    <w:p w14:paraId="46D44F3A" w14:textId="77777777" w:rsidR="004F18DD" w:rsidRPr="007537B3" w:rsidRDefault="004F18DD" w:rsidP="004F18DD">
      <w:pPr>
        <w:pStyle w:val="Heading4"/>
        <w:spacing w:before="0"/>
      </w:pPr>
      <w:r w:rsidRPr="007537B3">
        <w:t>Quality Assurance</w:t>
      </w:r>
      <w:r>
        <w:t xml:space="preserve"> (QA) </w:t>
      </w:r>
      <w:r w:rsidRPr="007537B3">
        <w:t>/Quality Improvement</w:t>
      </w:r>
      <w:r>
        <w:t xml:space="preserve"> (QI), Audit and Evaluation</w:t>
      </w:r>
      <w:r w:rsidRPr="007537B3">
        <w:t xml:space="preserve"> Activit</w:t>
      </w:r>
      <w:r>
        <w:t>ies</w:t>
      </w:r>
    </w:p>
    <w:p w14:paraId="59F04DF1" w14:textId="3EDE7FEC" w:rsidR="004F18DD" w:rsidRPr="007537B3" w:rsidRDefault="004F18DD" w:rsidP="004F18DD">
      <w:pPr>
        <w:pStyle w:val="BulletedListLevel1"/>
        <w:rPr>
          <w:rFonts w:cs="Open Sans"/>
          <w:szCs w:val="22"/>
        </w:rPr>
      </w:pPr>
      <w:r>
        <w:rPr>
          <w:rFonts w:cs="Open Sans"/>
          <w:szCs w:val="22"/>
        </w:rPr>
        <w:t xml:space="preserve">In accordance with the </w:t>
      </w:r>
      <w:r w:rsidRPr="007537B3">
        <w:rPr>
          <w:rFonts w:cs="Open Sans"/>
          <w:i/>
          <w:iCs/>
          <w:szCs w:val="22"/>
        </w:rPr>
        <w:t>National Health and Medical Research Council</w:t>
      </w:r>
      <w:r>
        <w:rPr>
          <w:rFonts w:cs="Open Sans"/>
          <w:i/>
          <w:iCs/>
          <w:szCs w:val="22"/>
        </w:rPr>
        <w:t xml:space="preserve"> (NHMRC)</w:t>
      </w:r>
      <w:r w:rsidRPr="007537B3">
        <w:rPr>
          <w:rFonts w:cs="Open Sans"/>
          <w:i/>
          <w:iCs/>
          <w:szCs w:val="22"/>
        </w:rPr>
        <w:t xml:space="preserve">, </w:t>
      </w:r>
      <w:hyperlink r:id="rId17" w:history="1">
        <w:r w:rsidRPr="009D0F9B">
          <w:rPr>
            <w:rStyle w:val="Hyperlink"/>
            <w:rFonts w:cs="Open Sans"/>
            <w:i/>
            <w:iCs/>
            <w:szCs w:val="22"/>
          </w:rPr>
          <w:t>Ethical Considerations in Quality Assurance and Evaluation Activities</w:t>
        </w:r>
      </w:hyperlink>
      <w:r>
        <w:rPr>
          <w:rFonts w:cs="Open Sans"/>
          <w:szCs w:val="22"/>
        </w:rPr>
        <w:t xml:space="preserve"> guideline, the </w:t>
      </w:r>
      <w:r w:rsidRPr="007537B3">
        <w:rPr>
          <w:rFonts w:cs="Open Sans"/>
          <w:szCs w:val="22"/>
        </w:rPr>
        <w:t>primary purpose of a quality assurance or quality improvement (QA/QI) activity is</w:t>
      </w:r>
      <w:r>
        <w:rPr>
          <w:rFonts w:cs="Open Sans"/>
          <w:szCs w:val="22"/>
        </w:rPr>
        <w:t xml:space="preserve"> “</w:t>
      </w:r>
      <w:r>
        <w:t>to monitor or improve the quality of service delivered by an individual or an organisation” and</w:t>
      </w:r>
      <w:r w:rsidRPr="007537B3">
        <w:rPr>
          <w:rFonts w:cs="Open Sans"/>
          <w:szCs w:val="22"/>
        </w:rPr>
        <w:t xml:space="preserve"> </w:t>
      </w:r>
      <w:r>
        <w:rPr>
          <w:rFonts w:cs="Open Sans"/>
          <w:szCs w:val="22"/>
        </w:rPr>
        <w:t>“</w:t>
      </w:r>
      <w:r>
        <w:t xml:space="preserve">terms such as ‘peer review’, ‘quality assurance’, ‘quality improvement’, ‘quality activities’, ‘quality studies’ and ‘audit’ are often used interchangeably”. </w:t>
      </w:r>
    </w:p>
    <w:p w14:paraId="72EB09A3" w14:textId="45701544" w:rsidR="004F18DD" w:rsidRDefault="002E34F0" w:rsidP="004F18DD">
      <w:pPr>
        <w:pStyle w:val="BulletedListLevel1"/>
        <w:rPr>
          <w:rFonts w:cs="Open Sans"/>
          <w:szCs w:val="22"/>
        </w:rPr>
      </w:pPr>
      <w:r>
        <w:rPr>
          <w:rFonts w:cs="Open Sans"/>
          <w:szCs w:val="22"/>
        </w:rPr>
        <w:t>The guideline defines ‘evaluation’ as a “</w:t>
      </w:r>
      <w:r w:rsidR="004F18DD">
        <w:t xml:space="preserve">term that generally encompasses the systematic collection and analysis of information to make judgements, usually about the effectiveness, efficiency and/or appropriateness of an activity. The term is </w:t>
      </w:r>
      <w:r w:rsidR="004F18DD" w:rsidRPr="007537B3">
        <w:t>used in a broad sense to refer to any set of procedures, activities, resources, policies and/or strategies designed to achieve some common goals or objectives”</w:t>
      </w:r>
      <w:r w:rsidR="004F18DD" w:rsidRPr="007537B3">
        <w:rPr>
          <w:rFonts w:cs="Open Sans"/>
          <w:szCs w:val="22"/>
        </w:rPr>
        <w:t>.</w:t>
      </w:r>
    </w:p>
    <w:p w14:paraId="3DDDB26B" w14:textId="45CD9824" w:rsidR="004F18DD" w:rsidRDefault="004F18DD" w:rsidP="004F18DD">
      <w:pPr>
        <w:pStyle w:val="BulletedListLevel1"/>
        <w:rPr>
          <w:rFonts w:cs="Open Sans"/>
          <w:szCs w:val="22"/>
        </w:rPr>
      </w:pPr>
      <w:r>
        <w:rPr>
          <w:rFonts w:cs="Open Sans"/>
          <w:szCs w:val="22"/>
        </w:rPr>
        <w:t>Regardless of if a proposed project is ‘</w:t>
      </w:r>
      <w:r w:rsidR="00FC2F1D">
        <w:rPr>
          <w:rFonts w:cs="Open Sans"/>
          <w:szCs w:val="22"/>
        </w:rPr>
        <w:t xml:space="preserve">low </w:t>
      </w:r>
      <w:r>
        <w:rPr>
          <w:rFonts w:cs="Open Sans"/>
          <w:szCs w:val="22"/>
        </w:rPr>
        <w:t xml:space="preserve">risk, QA/QI, audit or evaluation’ all proposed projects should have a level of “ethical consideration or ethical oversight”, but do not systematically require ethical approval from a HREC. Refer to the </w:t>
      </w:r>
      <w:r w:rsidRPr="00715276">
        <w:rPr>
          <w:rFonts w:cs="Open Sans"/>
          <w:i/>
          <w:iCs/>
          <w:szCs w:val="22"/>
        </w:rPr>
        <w:t xml:space="preserve">Healthcare Quality Improvement Partnership, </w:t>
      </w:r>
      <w:hyperlink r:id="rId18" w:history="1">
        <w:r w:rsidRPr="00715276">
          <w:rPr>
            <w:rStyle w:val="Hyperlink"/>
            <w:rFonts w:cs="Open Sans"/>
            <w:i/>
            <w:iCs/>
            <w:szCs w:val="22"/>
          </w:rPr>
          <w:t>Guide to managing ethical issues in quality improvement or clinical audit projects</w:t>
        </w:r>
      </w:hyperlink>
      <w:r>
        <w:rPr>
          <w:rFonts w:cs="Open Sans"/>
          <w:szCs w:val="22"/>
        </w:rPr>
        <w:t>.</w:t>
      </w:r>
    </w:p>
    <w:p w14:paraId="38054414" w14:textId="1CEF65BE" w:rsidR="004F18DD" w:rsidRPr="007537B3" w:rsidRDefault="004F18DD" w:rsidP="004F18DD">
      <w:pPr>
        <w:pStyle w:val="BulletedListLevel1"/>
        <w:rPr>
          <w:rFonts w:cs="Open Sans"/>
          <w:szCs w:val="22"/>
        </w:rPr>
      </w:pPr>
      <w:r w:rsidRPr="007537B3">
        <w:rPr>
          <w:rFonts w:cs="Open Sans"/>
          <w:szCs w:val="22"/>
        </w:rPr>
        <w:t>Data collection and analysis for QA/Q</w:t>
      </w:r>
      <w:r w:rsidR="005D1855">
        <w:rPr>
          <w:rFonts w:cs="Open Sans"/>
          <w:szCs w:val="22"/>
        </w:rPr>
        <w:t xml:space="preserve"> </w:t>
      </w:r>
      <w:r w:rsidRPr="007537B3">
        <w:rPr>
          <w:rFonts w:cs="Open Sans"/>
          <w:szCs w:val="22"/>
        </w:rPr>
        <w:t>activities should</w:t>
      </w:r>
      <w:r w:rsidR="002E34F0">
        <w:rPr>
          <w:rFonts w:cs="Open Sans"/>
          <w:szCs w:val="22"/>
        </w:rPr>
        <w:t xml:space="preserve"> be collected and analysed</w:t>
      </w:r>
      <w:r w:rsidRPr="007537B3">
        <w:rPr>
          <w:rFonts w:cs="Open Sans"/>
          <w:szCs w:val="22"/>
        </w:rPr>
        <w:t>:</w:t>
      </w:r>
    </w:p>
    <w:p w14:paraId="3D117474" w14:textId="13EB21A0" w:rsidR="004F18DD" w:rsidRPr="007537B3" w:rsidRDefault="002E34F0" w:rsidP="00253FC9">
      <w:pPr>
        <w:numPr>
          <w:ilvl w:val="1"/>
          <w:numId w:val="37"/>
        </w:numPr>
        <w:tabs>
          <w:tab w:val="clear" w:pos="1440"/>
          <w:tab w:val="num" w:pos="1134"/>
        </w:tabs>
        <w:ind w:left="1134" w:hanging="567"/>
        <w:rPr>
          <w:rFonts w:cs="Open Sans"/>
        </w:rPr>
      </w:pPr>
      <w:r>
        <w:rPr>
          <w:rFonts w:cs="Open Sans"/>
        </w:rPr>
        <w:t>in</w:t>
      </w:r>
      <w:r w:rsidR="004F18DD">
        <w:rPr>
          <w:rFonts w:cs="Open Sans"/>
        </w:rPr>
        <w:t xml:space="preserve"> accordance with</w:t>
      </w:r>
      <w:r w:rsidR="004F18DD" w:rsidRPr="007537B3">
        <w:rPr>
          <w:rFonts w:cs="Open Sans"/>
        </w:rPr>
        <w:t xml:space="preserve"> standard operating procedures </w:t>
      </w:r>
      <w:r w:rsidR="004F18DD">
        <w:rPr>
          <w:rFonts w:cs="Open Sans"/>
        </w:rPr>
        <w:t>and clinical practice protocols based on evidence-based practice and benchmarking with state, national and international standards</w:t>
      </w:r>
      <w:r w:rsidR="004F18DD" w:rsidRPr="007537B3">
        <w:rPr>
          <w:rFonts w:cs="Open Sans"/>
        </w:rPr>
        <w:t>; and</w:t>
      </w:r>
    </w:p>
    <w:p w14:paraId="61AD6107" w14:textId="4F0166A8" w:rsidR="004F18DD" w:rsidRDefault="004F18DD" w:rsidP="00253FC9">
      <w:pPr>
        <w:numPr>
          <w:ilvl w:val="1"/>
          <w:numId w:val="37"/>
        </w:numPr>
        <w:tabs>
          <w:tab w:val="clear" w:pos="1440"/>
          <w:tab w:val="num" w:pos="1134"/>
        </w:tabs>
        <w:ind w:left="1134" w:hanging="567"/>
        <w:rPr>
          <w:rFonts w:cs="Open Sans"/>
        </w:rPr>
      </w:pPr>
      <w:r w:rsidRPr="007537B3">
        <w:rPr>
          <w:rFonts w:cs="Open Sans"/>
        </w:rPr>
        <w:t>expressly for the purpose of maintaining standards or identifying areas for improvement in the environment from which the data was obtained.</w:t>
      </w:r>
    </w:p>
    <w:p w14:paraId="5370300B" w14:textId="2ECBDEF0" w:rsidR="004F18DD" w:rsidRPr="00F471FB" w:rsidRDefault="004F18DD" w:rsidP="004F18DD">
      <w:pPr>
        <w:pStyle w:val="BulletedListLevel1"/>
        <w:rPr>
          <w:rFonts w:cs="Open Sans"/>
          <w:szCs w:val="22"/>
        </w:rPr>
      </w:pPr>
      <w:r w:rsidRPr="00F471FB">
        <w:rPr>
          <w:rFonts w:cs="Open Sans"/>
          <w:szCs w:val="22"/>
        </w:rPr>
        <w:t xml:space="preserve">Clinical audits are part of continuous </w:t>
      </w:r>
      <w:r w:rsidR="002E34F0">
        <w:rPr>
          <w:rFonts w:cs="Open Sans"/>
          <w:szCs w:val="22"/>
        </w:rPr>
        <w:t xml:space="preserve">QI/QA </w:t>
      </w:r>
      <w:r w:rsidRPr="00F471FB">
        <w:rPr>
          <w:rFonts w:cs="Open Sans"/>
          <w:szCs w:val="22"/>
        </w:rPr>
        <w:t>processes and focus on specific clinical practices and patients’ clinical outcomes (</w:t>
      </w:r>
      <w:r w:rsidR="005D1855" w:rsidRPr="00F471FB">
        <w:rPr>
          <w:rFonts w:cs="Open Sans"/>
          <w:szCs w:val="22"/>
        </w:rPr>
        <w:t>e.g.,</w:t>
      </w:r>
      <w:r w:rsidRPr="00F471FB">
        <w:rPr>
          <w:rFonts w:cs="Open Sans"/>
          <w:szCs w:val="22"/>
        </w:rPr>
        <w:t xml:space="preserve"> rates and types of complications following a surgical procedure)</w:t>
      </w:r>
      <w:r>
        <w:rPr>
          <w:rFonts w:cs="Open Sans"/>
          <w:szCs w:val="22"/>
        </w:rPr>
        <w:t xml:space="preserve"> and a</w:t>
      </w:r>
      <w:r w:rsidRPr="00F471FB">
        <w:rPr>
          <w:rFonts w:cs="Open Sans"/>
          <w:szCs w:val="22"/>
        </w:rPr>
        <w:t>nalysis is usually just presentation of simple descriptive measures (averages, proportions etc) or basic measure of difference between groups (</w:t>
      </w:r>
      <w:r w:rsidR="005D1855" w:rsidRPr="00F471FB">
        <w:rPr>
          <w:rFonts w:cs="Open Sans"/>
          <w:szCs w:val="22"/>
        </w:rPr>
        <w:t>e.g.,</w:t>
      </w:r>
      <w:r w:rsidRPr="00F471FB">
        <w:rPr>
          <w:rFonts w:cs="Open Sans"/>
          <w:szCs w:val="22"/>
        </w:rPr>
        <w:t xml:space="preserve"> t-tests).</w:t>
      </w:r>
    </w:p>
    <w:p w14:paraId="11F0026C" w14:textId="085EF090" w:rsidR="004F18DD" w:rsidRPr="00F471FB" w:rsidRDefault="004F18DD" w:rsidP="004F18DD">
      <w:pPr>
        <w:pStyle w:val="BulletedListLevel1"/>
        <w:rPr>
          <w:rFonts w:cs="Open Sans"/>
          <w:szCs w:val="22"/>
        </w:rPr>
      </w:pPr>
      <w:r>
        <w:rPr>
          <w:rFonts w:cs="Open Sans"/>
          <w:szCs w:val="22"/>
        </w:rPr>
        <w:lastRenderedPageBreak/>
        <w:t>QA/QI, c</w:t>
      </w:r>
      <w:r w:rsidRPr="00F471FB">
        <w:rPr>
          <w:rFonts w:cs="Open Sans"/>
          <w:szCs w:val="22"/>
        </w:rPr>
        <w:t>linical audits</w:t>
      </w:r>
      <w:r>
        <w:rPr>
          <w:rFonts w:cs="Open Sans"/>
          <w:szCs w:val="22"/>
        </w:rPr>
        <w:t xml:space="preserve"> and evaluation activities</w:t>
      </w:r>
      <w:r w:rsidRPr="00F471FB">
        <w:rPr>
          <w:rFonts w:cs="Open Sans"/>
          <w:szCs w:val="22"/>
        </w:rPr>
        <w:t xml:space="preserve"> should be conducted at a departmental level and should be directed/managed by the appropriate department head and/or nursing/allied health lead for internal departmental purposes. </w:t>
      </w:r>
    </w:p>
    <w:p w14:paraId="3F999657" w14:textId="79695568" w:rsidR="004F18DD" w:rsidRDefault="004F18DD" w:rsidP="004F18DD">
      <w:pPr>
        <w:pStyle w:val="BulletedListLevel1"/>
      </w:pPr>
      <w:r w:rsidRPr="001C1A32">
        <w:rPr>
          <w:lang w:eastAsia="en-AU"/>
        </w:rPr>
        <w:t>In accordance with the Department of Health</w:t>
      </w:r>
      <w:r>
        <w:rPr>
          <w:lang w:eastAsia="en-AU"/>
        </w:rPr>
        <w:t xml:space="preserve"> (DoH)</w:t>
      </w:r>
      <w:r w:rsidRPr="001C1A32">
        <w:rPr>
          <w:lang w:eastAsia="en-AU"/>
        </w:rPr>
        <w:t xml:space="preserve"> </w:t>
      </w:r>
      <w:r w:rsidR="002E34F0" w:rsidRPr="009B0CD1">
        <w:rPr>
          <w:i/>
          <w:iCs/>
          <w:lang w:eastAsia="en-AU"/>
        </w:rPr>
        <w:t xml:space="preserve">Undertaking </w:t>
      </w:r>
      <w:r w:rsidRPr="009B0CD1">
        <w:rPr>
          <w:i/>
          <w:iCs/>
          <w:lang w:eastAsia="en-AU"/>
        </w:rPr>
        <w:t xml:space="preserve">Quality Improvement </w:t>
      </w:r>
      <w:r w:rsidR="00CA532C" w:rsidRPr="009B0CD1">
        <w:rPr>
          <w:i/>
          <w:iCs/>
          <w:lang w:eastAsia="en-AU"/>
        </w:rPr>
        <w:t>Protocol</w:t>
      </w:r>
      <w:r w:rsidR="00CA532C" w:rsidRPr="009B0CD1">
        <w:rPr>
          <w:lang w:eastAsia="en-AU"/>
        </w:rPr>
        <w:t xml:space="preserve"> </w:t>
      </w:r>
      <w:r w:rsidR="00CA532C">
        <w:rPr>
          <w:lang w:eastAsia="en-AU"/>
        </w:rPr>
        <w:t>(in draft)</w:t>
      </w:r>
      <w:r w:rsidRPr="001C1A32">
        <w:rPr>
          <w:lang w:eastAsia="en-AU"/>
        </w:rPr>
        <w:t xml:space="preserve">, employees </w:t>
      </w:r>
      <w:r>
        <w:rPr>
          <w:lang w:eastAsia="en-AU"/>
        </w:rPr>
        <w:t xml:space="preserve">must </w:t>
      </w:r>
      <w:r w:rsidRPr="001C1A32">
        <w:rPr>
          <w:lang w:eastAsia="en-AU"/>
        </w:rPr>
        <w:t xml:space="preserve">register their </w:t>
      </w:r>
      <w:r w:rsidRPr="001C1A32">
        <w:t>QA/QI activity on the Safety Learning and Reporting System</w:t>
      </w:r>
      <w:r>
        <w:t xml:space="preserve"> (SRLS).</w:t>
      </w:r>
      <w:r w:rsidR="002E34F0">
        <w:t xml:space="preserve"> </w:t>
      </w:r>
    </w:p>
    <w:p w14:paraId="55F4B512" w14:textId="293E4C24" w:rsidR="007D6AA6" w:rsidRDefault="007D6AA6" w:rsidP="007D6AA6">
      <w:pPr>
        <w:pStyle w:val="BulletedListLevel1"/>
        <w:rPr>
          <w:rFonts w:cs="Open Sans"/>
          <w:szCs w:val="22"/>
        </w:rPr>
      </w:pPr>
      <w:r>
        <w:rPr>
          <w:rFonts w:cs="Open Sans"/>
          <w:szCs w:val="22"/>
        </w:rPr>
        <w:t>Where a staff member has lodged a QA/QI, c</w:t>
      </w:r>
      <w:r w:rsidRPr="00F471FB">
        <w:rPr>
          <w:rFonts w:cs="Open Sans"/>
          <w:szCs w:val="22"/>
        </w:rPr>
        <w:t xml:space="preserve">linical </w:t>
      </w:r>
      <w:proofErr w:type="gramStart"/>
      <w:r w:rsidRPr="00F471FB">
        <w:rPr>
          <w:rFonts w:cs="Open Sans"/>
          <w:szCs w:val="22"/>
        </w:rPr>
        <w:t>audit</w:t>
      </w:r>
      <w:proofErr w:type="gramEnd"/>
      <w:r>
        <w:rPr>
          <w:rFonts w:cs="Open Sans"/>
          <w:szCs w:val="22"/>
        </w:rPr>
        <w:t xml:space="preserve"> and evaluation activity on the SRLS and the </w:t>
      </w:r>
      <w:r w:rsidR="005D1855" w:rsidRPr="00F471FB">
        <w:rPr>
          <w:rFonts w:cs="Open Sans"/>
          <w:szCs w:val="22"/>
        </w:rPr>
        <w:t xml:space="preserve">department head and/or nursing/allied health lead </w:t>
      </w:r>
      <w:r w:rsidRPr="00DB1E9B">
        <w:rPr>
          <w:lang w:eastAsia="en-AU"/>
        </w:rPr>
        <w:t>determines</w:t>
      </w:r>
      <w:r>
        <w:rPr>
          <w:rFonts w:cs="Open Sans"/>
          <w:szCs w:val="22"/>
        </w:rPr>
        <w:t xml:space="preserve"> the proposed activity meets the criteria for non-HREC level, the </w:t>
      </w:r>
      <w:r w:rsidRPr="00F471FB">
        <w:rPr>
          <w:rFonts w:cs="Open Sans"/>
          <w:szCs w:val="22"/>
        </w:rPr>
        <w:t xml:space="preserve">department head and/or nursing/allied health lead should </w:t>
      </w:r>
      <w:r>
        <w:rPr>
          <w:rFonts w:cs="Open Sans"/>
          <w:szCs w:val="22"/>
        </w:rPr>
        <w:t>direct staff to the research pathway</w:t>
      </w:r>
      <w:r w:rsidR="005D1855">
        <w:rPr>
          <w:rFonts w:cs="Open Sans"/>
          <w:szCs w:val="22"/>
        </w:rPr>
        <w:t xml:space="preserve"> (</w:t>
      </w:r>
      <w:r w:rsidR="00F71FA3">
        <w:rPr>
          <w:rFonts w:cs="Open Sans"/>
          <w:szCs w:val="22"/>
        </w:rPr>
        <w:t>Refer Appendix 1, Figure 1</w:t>
      </w:r>
      <w:r w:rsidR="005D1855">
        <w:rPr>
          <w:rFonts w:cs="Arial"/>
        </w:rPr>
        <w:t>).</w:t>
      </w:r>
    </w:p>
    <w:p w14:paraId="534B5262" w14:textId="25BF5348" w:rsidR="007537B3" w:rsidRPr="00715276" w:rsidRDefault="00715276" w:rsidP="00783E2D">
      <w:pPr>
        <w:pStyle w:val="Heading4"/>
      </w:pPr>
      <w:r w:rsidRPr="00715276">
        <w:t>Publications</w:t>
      </w:r>
      <w:r w:rsidR="00A83E1F">
        <w:t xml:space="preserve">, Presentations </w:t>
      </w:r>
      <w:r w:rsidRPr="00715276">
        <w:t xml:space="preserve">and </w:t>
      </w:r>
      <w:r w:rsidR="007537B3" w:rsidRPr="00715276">
        <w:t xml:space="preserve">Journal Requests </w:t>
      </w:r>
    </w:p>
    <w:p w14:paraId="6CF204BE" w14:textId="5051FF2A" w:rsidR="00A83E1F" w:rsidRPr="001C1A32" w:rsidRDefault="00715276" w:rsidP="00E94EFC">
      <w:pPr>
        <w:pStyle w:val="BulletedListLevel1"/>
      </w:pPr>
      <w:r w:rsidRPr="001C1A32">
        <w:t xml:space="preserve">It is not a requirement of the Tasmanian publicly funded health service </w:t>
      </w:r>
      <w:r w:rsidR="00A83E1F" w:rsidRPr="001C1A32">
        <w:t xml:space="preserve">for </w:t>
      </w:r>
      <w:r w:rsidR="00F471FB">
        <w:t xml:space="preserve">a </w:t>
      </w:r>
      <w:r w:rsidR="00F471FB" w:rsidRPr="001C1A32">
        <w:t>research project</w:t>
      </w:r>
      <w:r w:rsidR="00A83E1F" w:rsidRPr="001C1A32">
        <w:t xml:space="preserve"> or </w:t>
      </w:r>
      <w:r w:rsidR="00F471FB">
        <w:t xml:space="preserve">a </w:t>
      </w:r>
      <w:r w:rsidR="00A83E1F" w:rsidRPr="001C1A32">
        <w:t>project</w:t>
      </w:r>
      <w:r w:rsidR="00F471FB">
        <w:t xml:space="preserve"> </w:t>
      </w:r>
      <w:r w:rsidR="00A83E1F" w:rsidRPr="001C1A32">
        <w:t xml:space="preserve">meeting the “QA/QI or evaluation” criteria to receive ethics approval for the purposes of publications or presentations of </w:t>
      </w:r>
      <w:r w:rsidR="00364565">
        <w:t xml:space="preserve">research </w:t>
      </w:r>
      <w:r w:rsidR="00A83E1F" w:rsidRPr="001C1A32">
        <w:t xml:space="preserve">project outcomes. </w:t>
      </w:r>
    </w:p>
    <w:p w14:paraId="6E36BCF0" w14:textId="7B528380" w:rsidR="00364565" w:rsidRPr="00364565" w:rsidRDefault="00364565" w:rsidP="00F471FB">
      <w:pPr>
        <w:pStyle w:val="BulletedListLevel1"/>
        <w:rPr>
          <w:rFonts w:ascii="Calibri" w:hAnsi="Calibri"/>
          <w:szCs w:val="22"/>
        </w:rPr>
      </w:pPr>
      <w:r>
        <w:t xml:space="preserve">It is the responsibility of the applicant prior to the commencement of any QI/QA or research project </w:t>
      </w:r>
      <w:r w:rsidR="009F2CE8">
        <w:t xml:space="preserve">to develop </w:t>
      </w:r>
      <w:r>
        <w:t>a communication output plan and investigate</w:t>
      </w:r>
      <w:r w:rsidR="009F2CE8">
        <w:t>/</w:t>
      </w:r>
      <w:r>
        <w:t xml:space="preserve">identify prospective journals and their requirements. </w:t>
      </w:r>
    </w:p>
    <w:p w14:paraId="1AFE6CAD" w14:textId="55E9322D" w:rsidR="00F471FB" w:rsidRPr="001C1A32" w:rsidRDefault="00F471FB" w:rsidP="00F471FB">
      <w:pPr>
        <w:pStyle w:val="BulletedListLevel1"/>
        <w:rPr>
          <w:rFonts w:ascii="Calibri" w:hAnsi="Calibri"/>
          <w:szCs w:val="22"/>
        </w:rPr>
      </w:pPr>
      <w:r w:rsidRPr="001C1A32">
        <w:t xml:space="preserve">All persons within the Tasmanian publicly funded health service employed under the </w:t>
      </w:r>
      <w:r w:rsidRPr="00B654D9">
        <w:rPr>
          <w:i/>
          <w:iCs/>
        </w:rPr>
        <w:t>State Service Act</w:t>
      </w:r>
      <w:r w:rsidRPr="001C1A32">
        <w:t xml:space="preserve"> must follow the </w:t>
      </w:r>
      <w:r w:rsidRPr="00B654D9">
        <w:rPr>
          <w:i/>
          <w:iCs/>
        </w:rPr>
        <w:t>DoH Communication Polices</w:t>
      </w:r>
      <w:r w:rsidRPr="001C1A32">
        <w:t xml:space="preserve"> and the accompanying procedure</w:t>
      </w:r>
      <w:r>
        <w:t>s</w:t>
      </w:r>
      <w:r w:rsidRPr="001C1A32">
        <w:t xml:space="preserve"> if wanting to publish or present outcomes </w:t>
      </w:r>
      <w:r>
        <w:t>of</w:t>
      </w:r>
      <w:r w:rsidRPr="001C1A32">
        <w:t xml:space="preserve"> a research</w:t>
      </w:r>
      <w:r w:rsidR="00364565">
        <w:t xml:space="preserve"> project</w:t>
      </w:r>
      <w:r w:rsidRPr="001C1A32">
        <w:t xml:space="preserve"> or QA/</w:t>
      </w:r>
      <w:r>
        <w:t xml:space="preserve">QI, clinical </w:t>
      </w:r>
      <w:proofErr w:type="gramStart"/>
      <w:r>
        <w:t>audit</w:t>
      </w:r>
      <w:proofErr w:type="gramEnd"/>
      <w:r>
        <w:t xml:space="preserve"> or evaluation</w:t>
      </w:r>
      <w:r w:rsidRPr="001C1A32">
        <w:t xml:space="preserve"> project.</w:t>
      </w:r>
    </w:p>
    <w:p w14:paraId="381E21E1" w14:textId="03FEADE4" w:rsidR="00F471FB" w:rsidRPr="001C1A32" w:rsidRDefault="00F471FB" w:rsidP="00F471FB">
      <w:pPr>
        <w:pStyle w:val="BulletedListLevel1"/>
        <w:rPr>
          <w:rFonts w:ascii="Calibri" w:hAnsi="Calibri"/>
          <w:szCs w:val="22"/>
        </w:rPr>
      </w:pPr>
      <w:r w:rsidRPr="001C1A32">
        <w:t>An ethics approval from</w:t>
      </w:r>
      <w:r>
        <w:t xml:space="preserve"> a HREC / non-HREC level of review</w:t>
      </w:r>
      <w:r w:rsidRPr="001C1A32">
        <w:t xml:space="preserve"> is not an automatic entitlement to publish or present </w:t>
      </w:r>
      <w:r w:rsidR="00364565">
        <w:t xml:space="preserve">a research </w:t>
      </w:r>
      <w:r w:rsidRPr="001C1A32">
        <w:t>project outcome</w:t>
      </w:r>
      <w:r w:rsidR="00364565">
        <w:t>s</w:t>
      </w:r>
      <w:r w:rsidRPr="001C1A32">
        <w:t xml:space="preserve"> and staff must submit a draft of </w:t>
      </w:r>
      <w:r>
        <w:t xml:space="preserve">their </w:t>
      </w:r>
      <w:r w:rsidR="001101E3">
        <w:t xml:space="preserve">proposed </w:t>
      </w:r>
      <w:r>
        <w:t xml:space="preserve">publication or presentation </w:t>
      </w:r>
      <w:r w:rsidRPr="001C1A32">
        <w:t xml:space="preserve">to the </w:t>
      </w:r>
      <w:proofErr w:type="spellStart"/>
      <w:r w:rsidRPr="001C1A32">
        <w:t>HoD</w:t>
      </w:r>
      <w:proofErr w:type="spellEnd"/>
      <w:r w:rsidRPr="001C1A32">
        <w:t xml:space="preserve"> (or the Delegated Authority) as per the </w:t>
      </w:r>
      <w:r w:rsidR="0012163A">
        <w:t xml:space="preserve">DoH </w:t>
      </w:r>
      <w:hyperlink r:id="rId19" w:history="1">
        <w:r w:rsidRPr="00E064A6">
          <w:rPr>
            <w:rStyle w:val="Hyperlink"/>
            <w:i/>
            <w:iCs/>
          </w:rPr>
          <w:t>Delegation Schedule</w:t>
        </w:r>
      </w:hyperlink>
      <w:r w:rsidRPr="001C1A32">
        <w:t xml:space="preserve"> </w:t>
      </w:r>
      <w:r>
        <w:t>for</w:t>
      </w:r>
      <w:r w:rsidRPr="001C1A32">
        <w:t xml:space="preserve"> approval. </w:t>
      </w:r>
    </w:p>
    <w:p w14:paraId="106C5C59" w14:textId="09E02CC5" w:rsidR="00A83E1F" w:rsidRPr="001C1A32" w:rsidRDefault="007537B3" w:rsidP="00E94EFC">
      <w:pPr>
        <w:pStyle w:val="BulletedListLevel1"/>
        <w:rPr>
          <w:rFonts w:ascii="Calibri" w:hAnsi="Calibri"/>
          <w:szCs w:val="22"/>
        </w:rPr>
      </w:pPr>
      <w:r w:rsidRPr="001C1A32">
        <w:t>I</w:t>
      </w:r>
      <w:r w:rsidR="00A83E1F" w:rsidRPr="001C1A32">
        <w:t>f</w:t>
      </w:r>
      <w:r w:rsidRPr="001C1A32">
        <w:t xml:space="preserve"> </w:t>
      </w:r>
      <w:r w:rsidR="00364565">
        <w:t xml:space="preserve">ethical approval is </w:t>
      </w:r>
      <w:r w:rsidRPr="001C1A32">
        <w:t>required by a journal as a condition of publication, a HREC</w:t>
      </w:r>
      <w:r w:rsidR="00A225CD">
        <w:t xml:space="preserve">, </w:t>
      </w:r>
      <w:r w:rsidRPr="001C1A32">
        <w:t xml:space="preserve">other ethics review body </w:t>
      </w:r>
      <w:r w:rsidR="00A225CD">
        <w:t xml:space="preserve">or </w:t>
      </w:r>
      <w:r w:rsidR="00F471FB">
        <w:t xml:space="preserve">non-HREC </w:t>
      </w:r>
      <w:r w:rsidR="00A225CD">
        <w:t>committee</w:t>
      </w:r>
      <w:r w:rsidRPr="001C1A32">
        <w:t xml:space="preserve"> </w:t>
      </w:r>
      <w:r w:rsidR="001101E3">
        <w:t>can</w:t>
      </w:r>
      <w:r w:rsidRPr="001C1A32">
        <w:t xml:space="preserve"> review </w:t>
      </w:r>
      <w:r w:rsidR="00364565">
        <w:t>a research project and grant ethical approval</w:t>
      </w:r>
      <w:r w:rsidRPr="001C1A32">
        <w:t xml:space="preserve">. </w:t>
      </w:r>
      <w:r w:rsidR="00364565">
        <w:t xml:space="preserve">However, </w:t>
      </w:r>
      <w:r w:rsidR="00A225CD">
        <w:t>E</w:t>
      </w:r>
      <w:r w:rsidRPr="001C1A32">
        <w:t>ditors of most journals will usually accept a letter from the institution confirming that an appropriate ethic</w:t>
      </w:r>
      <w:r w:rsidR="00364565">
        <w:t>al</w:t>
      </w:r>
      <w:r w:rsidRPr="001C1A32">
        <w:t xml:space="preserve"> review process was used or that ethic</w:t>
      </w:r>
      <w:r w:rsidR="00364565">
        <w:t>al</w:t>
      </w:r>
      <w:r w:rsidRPr="001C1A32">
        <w:t xml:space="preserve"> review was not required.</w:t>
      </w:r>
      <w:r w:rsidR="00A83E1F" w:rsidRPr="001C1A32">
        <w:t xml:space="preserve"> </w:t>
      </w:r>
    </w:p>
    <w:p w14:paraId="5B508415" w14:textId="705A7AC5" w:rsidR="00711070" w:rsidRPr="004F18DD" w:rsidRDefault="001C1A32" w:rsidP="00711070">
      <w:pPr>
        <w:pStyle w:val="BulletedListLevel1"/>
        <w:rPr>
          <w:rFonts w:ascii="Calibri" w:hAnsi="Calibri"/>
          <w:szCs w:val="22"/>
        </w:rPr>
      </w:pPr>
      <w:r w:rsidRPr="001C1A32">
        <w:t>External persons cannot undertake QA/QI</w:t>
      </w:r>
      <w:r w:rsidR="00B654D9">
        <w:t xml:space="preserve">, clinical </w:t>
      </w:r>
      <w:proofErr w:type="gramStart"/>
      <w:r w:rsidR="00B654D9">
        <w:t>audit</w:t>
      </w:r>
      <w:proofErr w:type="gramEnd"/>
      <w:r w:rsidR="00B654D9">
        <w:t xml:space="preserve"> or evaluation</w:t>
      </w:r>
      <w:r w:rsidRPr="001C1A32">
        <w:t xml:space="preserve"> activities as they are not employed under the </w:t>
      </w:r>
      <w:r w:rsidRPr="00F471FB">
        <w:rPr>
          <w:i/>
          <w:iCs/>
        </w:rPr>
        <w:t>State Service Act</w:t>
      </w:r>
      <w:r w:rsidRPr="001C1A32">
        <w:t xml:space="preserve">. </w:t>
      </w:r>
      <w:r w:rsidR="00F471FB" w:rsidRPr="001C1A32">
        <w:t>To</w:t>
      </w:r>
      <w:r w:rsidRPr="001C1A32">
        <w:t xml:space="preserve"> be</w:t>
      </w:r>
      <w:r w:rsidR="00E94EFC">
        <w:t xml:space="preserve"> participate </w:t>
      </w:r>
      <w:r w:rsidR="00F471FB">
        <w:t xml:space="preserve">or undertake what would be deemed </w:t>
      </w:r>
      <w:r w:rsidR="00E94EFC">
        <w:t>QA/QI</w:t>
      </w:r>
      <w:r w:rsidR="000C5480">
        <w:t>, clinical audit or evaluation</w:t>
      </w:r>
      <w:r w:rsidR="000C5480" w:rsidRPr="001C1A32">
        <w:t xml:space="preserve"> activities</w:t>
      </w:r>
      <w:r w:rsidR="00F471FB">
        <w:t>,</w:t>
      </w:r>
      <w:r w:rsidR="00E94EFC">
        <w:t xml:space="preserve"> </w:t>
      </w:r>
      <w:r w:rsidR="00530BB3">
        <w:t>applicants must follow the RGPF</w:t>
      </w:r>
      <w:r w:rsidR="00F471FB">
        <w:t xml:space="preserve">. </w:t>
      </w:r>
      <w:r w:rsidRPr="001C1A32">
        <w:t xml:space="preserve"> </w:t>
      </w:r>
    </w:p>
    <w:p w14:paraId="54190AE5" w14:textId="5B459883" w:rsidR="001C1A32" w:rsidRPr="001C1A32" w:rsidRDefault="001C1A32" w:rsidP="00B73FA9">
      <w:pPr>
        <w:pStyle w:val="Heading4"/>
        <w:spacing w:before="120"/>
      </w:pPr>
      <w:bookmarkStart w:id="3" w:name="_Exemptions_from_Ethical"/>
      <w:bookmarkEnd w:id="3"/>
      <w:r w:rsidRPr="001C1A32">
        <w:t xml:space="preserve">Submitting a </w:t>
      </w:r>
      <w:r>
        <w:t>R</w:t>
      </w:r>
      <w:r w:rsidRPr="001C1A32">
        <w:t xml:space="preserve">equest </w:t>
      </w:r>
      <w:r>
        <w:t>for Exemption</w:t>
      </w:r>
      <w:r w:rsidRPr="001C1A32">
        <w:t xml:space="preserve"> </w:t>
      </w:r>
      <w:r>
        <w:t>from Ethical Review</w:t>
      </w:r>
    </w:p>
    <w:p w14:paraId="5FC3CE74" w14:textId="1A00BCFE" w:rsidR="001C1A32" w:rsidRPr="001C1A32" w:rsidRDefault="001C1A32" w:rsidP="00E94EFC">
      <w:pPr>
        <w:pStyle w:val="BulletedListLevel1"/>
        <w:rPr>
          <w:lang w:eastAsia="en-AU"/>
        </w:rPr>
      </w:pPr>
      <w:r w:rsidRPr="001C1A32">
        <w:rPr>
          <w:lang w:eastAsia="en-AU"/>
        </w:rPr>
        <w:t>T</w:t>
      </w:r>
      <w:r>
        <w:rPr>
          <w:lang w:eastAsia="en-AU"/>
        </w:rPr>
        <w:t xml:space="preserve">o </w:t>
      </w:r>
      <w:r w:rsidRPr="001C1A32">
        <w:rPr>
          <w:lang w:eastAsia="en-AU"/>
        </w:rPr>
        <w:t>request</w:t>
      </w:r>
      <w:r>
        <w:rPr>
          <w:lang w:eastAsia="en-AU"/>
        </w:rPr>
        <w:t xml:space="preserve"> </w:t>
      </w:r>
      <w:r w:rsidRPr="001C1A32">
        <w:rPr>
          <w:lang w:eastAsia="en-AU"/>
        </w:rPr>
        <w:t xml:space="preserve">a </w:t>
      </w:r>
      <w:r w:rsidR="006813E3">
        <w:rPr>
          <w:lang w:eastAsia="en-AU"/>
        </w:rPr>
        <w:t>QI/QA or evaluation</w:t>
      </w:r>
      <w:r w:rsidR="00364565">
        <w:rPr>
          <w:lang w:eastAsia="en-AU"/>
        </w:rPr>
        <w:t xml:space="preserve"> </w:t>
      </w:r>
      <w:r w:rsidRPr="001C1A32">
        <w:rPr>
          <w:lang w:eastAsia="en-AU"/>
        </w:rPr>
        <w:t xml:space="preserve">activity </w:t>
      </w:r>
      <w:r w:rsidR="006813E3">
        <w:rPr>
          <w:lang w:eastAsia="en-AU"/>
        </w:rPr>
        <w:t>where there is</w:t>
      </w:r>
      <w:r w:rsidR="006813E3" w:rsidRPr="001C1A32">
        <w:rPr>
          <w:lang w:eastAsia="en-AU"/>
        </w:rPr>
        <w:t xml:space="preserve"> </w:t>
      </w:r>
      <w:r w:rsidRPr="001C1A32">
        <w:rPr>
          <w:lang w:eastAsia="en-AU"/>
        </w:rPr>
        <w:t>intent to publish</w:t>
      </w:r>
      <w:r w:rsidR="00F471FB" w:rsidRPr="00F471FB">
        <w:rPr>
          <w:lang w:eastAsia="en-AU"/>
        </w:rPr>
        <w:t xml:space="preserve"> </w:t>
      </w:r>
      <w:r w:rsidR="006813E3">
        <w:rPr>
          <w:lang w:eastAsia="en-AU"/>
        </w:rPr>
        <w:t xml:space="preserve">the activity </w:t>
      </w:r>
      <w:r w:rsidR="006813E3" w:rsidRPr="001C1A32">
        <w:rPr>
          <w:lang w:eastAsia="en-AU"/>
        </w:rPr>
        <w:t>and</w:t>
      </w:r>
      <w:r w:rsidR="00F471FB" w:rsidRPr="001C1A32">
        <w:rPr>
          <w:lang w:eastAsia="en-AU"/>
        </w:rPr>
        <w:t xml:space="preserve"> </w:t>
      </w:r>
      <w:r w:rsidR="006813E3">
        <w:rPr>
          <w:lang w:eastAsia="en-AU"/>
        </w:rPr>
        <w:t xml:space="preserve">request an </w:t>
      </w:r>
      <w:r w:rsidR="00F471FB" w:rsidRPr="001C1A32">
        <w:rPr>
          <w:lang w:eastAsia="en-AU"/>
        </w:rPr>
        <w:t xml:space="preserve">exemption from </w:t>
      </w:r>
      <w:r w:rsidR="00F471FB">
        <w:rPr>
          <w:lang w:eastAsia="en-AU"/>
        </w:rPr>
        <w:t>ethical</w:t>
      </w:r>
      <w:r w:rsidR="00F471FB" w:rsidRPr="001C1A32">
        <w:rPr>
          <w:lang w:eastAsia="en-AU"/>
        </w:rPr>
        <w:t xml:space="preserve"> </w:t>
      </w:r>
      <w:r w:rsidR="006813E3" w:rsidRPr="001C1A32">
        <w:rPr>
          <w:lang w:eastAsia="en-AU"/>
        </w:rPr>
        <w:t>review</w:t>
      </w:r>
      <w:r w:rsidR="006813E3">
        <w:rPr>
          <w:lang w:eastAsia="en-AU"/>
        </w:rPr>
        <w:t>:</w:t>
      </w:r>
      <w:r w:rsidRPr="001C1A32">
        <w:rPr>
          <w:lang w:eastAsia="en-AU"/>
        </w:rPr>
        <w:t xml:space="preserve"> </w:t>
      </w:r>
    </w:p>
    <w:p w14:paraId="02CBF9E7" w14:textId="3679FA23" w:rsidR="001C1A32" w:rsidRDefault="001C1A32" w:rsidP="00297C9B">
      <w:pPr>
        <w:pStyle w:val="BulletedListLevel1"/>
        <w:numPr>
          <w:ilvl w:val="0"/>
          <w:numId w:val="23"/>
        </w:numPr>
        <w:rPr>
          <w:lang w:eastAsia="en-AU"/>
        </w:rPr>
      </w:pPr>
      <w:r>
        <w:rPr>
          <w:lang w:eastAsia="en-AU"/>
        </w:rPr>
        <w:t>Submit a c</w:t>
      </w:r>
      <w:r w:rsidRPr="001C1A32">
        <w:rPr>
          <w:lang w:eastAsia="en-AU"/>
        </w:rPr>
        <w:t xml:space="preserve">over letter addressed to the </w:t>
      </w:r>
      <w:r w:rsidR="00A225CD">
        <w:rPr>
          <w:lang w:eastAsia="en-AU"/>
        </w:rPr>
        <w:t>n</w:t>
      </w:r>
      <w:r w:rsidR="00995F06">
        <w:rPr>
          <w:lang w:eastAsia="en-AU"/>
        </w:rPr>
        <w:t>on-HREC</w:t>
      </w:r>
      <w:r w:rsidRPr="001C1A32">
        <w:rPr>
          <w:lang w:eastAsia="en-AU"/>
        </w:rPr>
        <w:t xml:space="preserve"> </w:t>
      </w:r>
      <w:r w:rsidR="00A225CD">
        <w:t>person(s) or committee</w:t>
      </w:r>
      <w:r w:rsidR="00DB1E9B">
        <w:rPr>
          <w:lang w:eastAsia="en-AU"/>
        </w:rPr>
        <w:t xml:space="preserve"> </w:t>
      </w:r>
      <w:r w:rsidRPr="001C1A32">
        <w:rPr>
          <w:lang w:eastAsia="en-AU"/>
        </w:rPr>
        <w:t xml:space="preserve">containing the following: </w:t>
      </w:r>
    </w:p>
    <w:p w14:paraId="5938E5C1" w14:textId="77777777" w:rsidR="001C1A32" w:rsidRDefault="001C1A32" w:rsidP="00DB1E9B">
      <w:pPr>
        <w:pStyle w:val="BulletedListLevel1"/>
        <w:numPr>
          <w:ilvl w:val="1"/>
          <w:numId w:val="33"/>
        </w:numPr>
        <w:ind w:left="1843" w:hanging="709"/>
        <w:rPr>
          <w:lang w:eastAsia="en-AU"/>
        </w:rPr>
      </w:pPr>
      <w:r w:rsidRPr="001C1A32">
        <w:rPr>
          <w:lang w:eastAsia="en-AU"/>
        </w:rPr>
        <w:lastRenderedPageBreak/>
        <w:t xml:space="preserve">Statement of what is being requested, e.g. "I am writing to seek an exemption from Human Research Ethics Committee review for the following Quality Assurance activity with intent to publish the </w:t>
      </w:r>
      <w:proofErr w:type="gramStart"/>
      <w:r w:rsidRPr="001C1A32">
        <w:rPr>
          <w:lang w:eastAsia="en-AU"/>
        </w:rPr>
        <w:t>findings</w:t>
      </w:r>
      <w:proofErr w:type="gramEnd"/>
      <w:r w:rsidRPr="001C1A32">
        <w:rPr>
          <w:lang w:eastAsia="en-AU"/>
        </w:rPr>
        <w:t>”</w:t>
      </w:r>
    </w:p>
    <w:p w14:paraId="0B161BFA" w14:textId="365B4860" w:rsidR="001C1A32" w:rsidRDefault="001C1A32" w:rsidP="00DB1E9B">
      <w:pPr>
        <w:pStyle w:val="BulletedListLevel1"/>
        <w:numPr>
          <w:ilvl w:val="1"/>
          <w:numId w:val="33"/>
        </w:numPr>
        <w:ind w:left="1843" w:hanging="709"/>
        <w:rPr>
          <w:lang w:eastAsia="en-AU"/>
        </w:rPr>
      </w:pPr>
      <w:r w:rsidRPr="001C1A32">
        <w:rPr>
          <w:lang w:eastAsia="en-AU"/>
        </w:rPr>
        <w:t xml:space="preserve">Descriptive title of the </w:t>
      </w:r>
      <w:r w:rsidR="009B0CD1" w:rsidRPr="001C1A32">
        <w:rPr>
          <w:lang w:eastAsia="en-AU"/>
        </w:rPr>
        <w:t>activity.</w:t>
      </w:r>
      <w:r w:rsidRPr="001C1A32">
        <w:rPr>
          <w:lang w:eastAsia="en-AU"/>
        </w:rPr>
        <w:t xml:space="preserve"> </w:t>
      </w:r>
    </w:p>
    <w:p w14:paraId="0A03602A" w14:textId="7AE782A9" w:rsidR="001C1A32" w:rsidRDefault="001C1A32" w:rsidP="00DB1E9B">
      <w:pPr>
        <w:pStyle w:val="BulletedListLevel1"/>
        <w:numPr>
          <w:ilvl w:val="1"/>
          <w:numId w:val="33"/>
        </w:numPr>
        <w:ind w:left="1843" w:hanging="709"/>
        <w:rPr>
          <w:lang w:eastAsia="en-AU"/>
        </w:rPr>
      </w:pPr>
      <w:r w:rsidRPr="001C1A32">
        <w:rPr>
          <w:lang w:eastAsia="en-AU"/>
        </w:rPr>
        <w:t xml:space="preserve">Brief summary of the activity with justification of why this is a Quality Assurance / Audit activity rather than a research study and the ethical issues identified (refer to the </w:t>
      </w:r>
      <w:r w:rsidRPr="00DB1E9B">
        <w:rPr>
          <w:i/>
          <w:iCs/>
          <w:lang w:eastAsia="en-AU"/>
        </w:rPr>
        <w:t>National Statement on Ethical Conduct in Human Research</w:t>
      </w:r>
      <w:r w:rsidR="00DB1E9B">
        <w:rPr>
          <w:lang w:eastAsia="en-AU"/>
        </w:rPr>
        <w:t xml:space="preserve"> (p6-7);</w:t>
      </w:r>
      <w:r w:rsidRPr="001C1A32">
        <w:rPr>
          <w:lang w:eastAsia="en-AU"/>
        </w:rPr>
        <w:t xml:space="preserve"> and </w:t>
      </w:r>
      <w:r w:rsidRPr="00DB1E9B">
        <w:rPr>
          <w:i/>
          <w:iCs/>
          <w:lang w:eastAsia="en-AU"/>
        </w:rPr>
        <w:t>Ethical Considerations in Quality Assurance and Evaluation Activities</w:t>
      </w:r>
      <w:r w:rsidRPr="001C1A32">
        <w:rPr>
          <w:lang w:eastAsia="en-AU"/>
        </w:rPr>
        <w:t xml:space="preserve"> (2014</w:t>
      </w:r>
      <w:proofErr w:type="gramStart"/>
      <w:r w:rsidRPr="001C1A32">
        <w:rPr>
          <w:lang w:eastAsia="en-AU"/>
        </w:rPr>
        <w:t>);</w:t>
      </w:r>
      <w:proofErr w:type="gramEnd"/>
      <w:r w:rsidRPr="001C1A32">
        <w:rPr>
          <w:lang w:eastAsia="en-AU"/>
        </w:rPr>
        <w:t xml:space="preserve"> </w:t>
      </w:r>
    </w:p>
    <w:p w14:paraId="799CE63D" w14:textId="452726AC" w:rsidR="001C1A32" w:rsidRPr="001C1A32" w:rsidRDefault="001C1A32" w:rsidP="00DB1E9B">
      <w:pPr>
        <w:pStyle w:val="BulletedListLevel1"/>
        <w:numPr>
          <w:ilvl w:val="1"/>
          <w:numId w:val="33"/>
        </w:numPr>
        <w:ind w:left="1843" w:hanging="709"/>
        <w:rPr>
          <w:lang w:eastAsia="en-AU"/>
        </w:rPr>
      </w:pPr>
      <w:r w:rsidRPr="001C1A32">
        <w:rPr>
          <w:lang w:eastAsia="en-AU"/>
        </w:rPr>
        <w:t xml:space="preserve">Contact details (postal address, telephone number and e-mail address) of the applicant. </w:t>
      </w:r>
    </w:p>
    <w:p w14:paraId="67F2319B" w14:textId="166B927E" w:rsidR="001C1A32" w:rsidRDefault="001C1A32" w:rsidP="00297C9B">
      <w:pPr>
        <w:pStyle w:val="BulletedListLevel1"/>
        <w:numPr>
          <w:ilvl w:val="0"/>
          <w:numId w:val="23"/>
        </w:numPr>
        <w:rPr>
          <w:lang w:eastAsia="en-AU"/>
        </w:rPr>
      </w:pPr>
      <w:r w:rsidRPr="001C1A32">
        <w:rPr>
          <w:lang w:eastAsia="en-AU"/>
        </w:rPr>
        <w:t xml:space="preserve">A separate </w:t>
      </w:r>
      <w:r w:rsidRPr="00E94EFC">
        <w:rPr>
          <w:i/>
          <w:iCs/>
          <w:lang w:eastAsia="en-AU"/>
        </w:rPr>
        <w:t>Proposal Document</w:t>
      </w:r>
      <w:r w:rsidRPr="001C1A32">
        <w:rPr>
          <w:lang w:eastAsia="en-AU"/>
        </w:rPr>
        <w:t xml:space="preserve"> containing the following: </w:t>
      </w:r>
    </w:p>
    <w:p w14:paraId="64BD526A" w14:textId="1A239DF5" w:rsidR="001C1A32" w:rsidRDefault="001C1A32" w:rsidP="00DB1E9B">
      <w:pPr>
        <w:pStyle w:val="BulletedListLevel1"/>
        <w:numPr>
          <w:ilvl w:val="1"/>
          <w:numId w:val="34"/>
        </w:numPr>
        <w:ind w:left="1843" w:hanging="709"/>
        <w:rPr>
          <w:lang w:eastAsia="en-AU"/>
        </w:rPr>
      </w:pPr>
      <w:r w:rsidRPr="001C1A32">
        <w:rPr>
          <w:lang w:eastAsia="en-AU"/>
        </w:rPr>
        <w:t xml:space="preserve">Descriptive title of the activity. </w:t>
      </w:r>
    </w:p>
    <w:p w14:paraId="52CA56F9" w14:textId="0AD2EDCE" w:rsidR="001C1A32" w:rsidRDefault="001C1A32" w:rsidP="00DB1E9B">
      <w:pPr>
        <w:pStyle w:val="BulletedListLevel1"/>
        <w:numPr>
          <w:ilvl w:val="1"/>
          <w:numId w:val="34"/>
        </w:numPr>
        <w:ind w:left="1843" w:hanging="709"/>
        <w:rPr>
          <w:lang w:eastAsia="en-AU"/>
        </w:rPr>
      </w:pPr>
      <w:r w:rsidRPr="001C1A32">
        <w:rPr>
          <w:lang w:eastAsia="en-AU"/>
        </w:rPr>
        <w:t>Investigators involved (e.g., to the level of potential authorship on any resultant publication</w:t>
      </w:r>
      <w:proofErr w:type="gramStart"/>
      <w:r w:rsidRPr="001C1A32">
        <w:rPr>
          <w:lang w:eastAsia="en-AU"/>
        </w:rPr>
        <w:t>);</w:t>
      </w:r>
      <w:proofErr w:type="gramEnd"/>
      <w:r w:rsidRPr="001C1A32">
        <w:rPr>
          <w:lang w:eastAsia="en-AU"/>
        </w:rPr>
        <w:t xml:space="preserve"> </w:t>
      </w:r>
    </w:p>
    <w:p w14:paraId="65943698" w14:textId="7B0EA62C" w:rsidR="001C1A32" w:rsidRDefault="001C1A32" w:rsidP="00DB1E9B">
      <w:pPr>
        <w:pStyle w:val="BulletedListLevel1"/>
        <w:numPr>
          <w:ilvl w:val="1"/>
          <w:numId w:val="34"/>
        </w:numPr>
        <w:ind w:left="1843" w:hanging="709"/>
        <w:rPr>
          <w:lang w:eastAsia="en-AU"/>
        </w:rPr>
      </w:pPr>
      <w:r w:rsidRPr="001C1A32">
        <w:rPr>
          <w:lang w:eastAsia="en-AU"/>
        </w:rPr>
        <w:t xml:space="preserve">Literature review including standards of care and relevant indicators. </w:t>
      </w:r>
    </w:p>
    <w:p w14:paraId="5690E8C7" w14:textId="77777777" w:rsidR="001C1A32" w:rsidRDefault="001C1A32" w:rsidP="00DB1E9B">
      <w:pPr>
        <w:pStyle w:val="BulletedListLevel1"/>
        <w:numPr>
          <w:ilvl w:val="1"/>
          <w:numId w:val="34"/>
        </w:numPr>
        <w:ind w:left="1843" w:hanging="709"/>
        <w:rPr>
          <w:lang w:eastAsia="en-AU"/>
        </w:rPr>
      </w:pPr>
      <w:r w:rsidRPr="001C1A32">
        <w:rPr>
          <w:lang w:eastAsia="en-AU"/>
        </w:rPr>
        <w:t xml:space="preserve">Aim and Background: Why is this activity being undertaken? What are the standards of care that apply in this case? If standards are not known, what is to be determined? How will the results be used? </w:t>
      </w:r>
    </w:p>
    <w:p w14:paraId="019E045C" w14:textId="77777777" w:rsidR="001C1A32" w:rsidRDefault="001C1A32" w:rsidP="00DB1E9B">
      <w:pPr>
        <w:pStyle w:val="BulletedListLevel1"/>
        <w:numPr>
          <w:ilvl w:val="1"/>
          <w:numId w:val="34"/>
        </w:numPr>
        <w:ind w:left="1843" w:hanging="709"/>
        <w:rPr>
          <w:lang w:eastAsia="en-AU"/>
        </w:rPr>
      </w:pPr>
      <w:r w:rsidRPr="001C1A32">
        <w:rPr>
          <w:lang w:eastAsia="en-AU"/>
        </w:rPr>
        <w:t xml:space="preserve">Method: Details on participants, or data, to be included (inclusion / exclusion criteria, numbers involved, relevant time periods); what, if anything, participants will be asked to do; variables to be reported on, including outcomes of interest; method of data collection (e.g. chart review); methods used to maintain confidentiality / anonymity; the form the results will take (e.g. descriptive statistics); study timelines; how the exercise might be fed back into an audit or service improvement cycle; where the results are anticipated to be presented external to the institution; references (where relevant). </w:t>
      </w:r>
    </w:p>
    <w:p w14:paraId="39B62AEC" w14:textId="2F834D9F" w:rsidR="001C1A32" w:rsidRPr="001C1A32" w:rsidRDefault="001C1A32" w:rsidP="00DB1E9B">
      <w:pPr>
        <w:pStyle w:val="BulletedListLevel1"/>
        <w:numPr>
          <w:ilvl w:val="1"/>
          <w:numId w:val="34"/>
        </w:numPr>
        <w:ind w:left="1843" w:hanging="709"/>
        <w:rPr>
          <w:lang w:eastAsia="en-AU"/>
        </w:rPr>
      </w:pPr>
      <w:r w:rsidRPr="001C1A32">
        <w:rPr>
          <w:lang w:eastAsia="en-AU"/>
        </w:rPr>
        <w:t xml:space="preserve">The </w:t>
      </w:r>
      <w:r w:rsidR="00E94EFC" w:rsidRPr="00E94EFC">
        <w:rPr>
          <w:i/>
          <w:iCs/>
          <w:lang w:eastAsia="en-AU"/>
        </w:rPr>
        <w:t>Proposal Document</w:t>
      </w:r>
      <w:r w:rsidR="00E94EFC" w:rsidRPr="001C1A32">
        <w:rPr>
          <w:lang w:eastAsia="en-AU"/>
        </w:rPr>
        <w:t xml:space="preserve"> </w:t>
      </w:r>
      <w:r w:rsidRPr="001C1A32">
        <w:rPr>
          <w:lang w:eastAsia="en-AU"/>
        </w:rPr>
        <w:t xml:space="preserve">may be brief but should provide sufficient detail (e.g., 2 - 3 pages). A research protocol template can be used and modified as appropriate (e.g., sample size calculations may not be relevant). </w:t>
      </w:r>
    </w:p>
    <w:p w14:paraId="1C9972D5" w14:textId="439C36A9" w:rsidR="001C1A32" w:rsidRPr="001C1A32" w:rsidRDefault="001C1A32" w:rsidP="00297C9B">
      <w:pPr>
        <w:pStyle w:val="BulletedListLevel1"/>
        <w:numPr>
          <w:ilvl w:val="0"/>
          <w:numId w:val="23"/>
        </w:numPr>
        <w:rPr>
          <w:lang w:eastAsia="en-AU"/>
        </w:rPr>
      </w:pPr>
      <w:r w:rsidRPr="001C1A32">
        <w:rPr>
          <w:lang w:eastAsia="en-AU"/>
        </w:rPr>
        <w:t>Any associated study materials (e.g., data collection tools, patient satisfaction questionnaires).</w:t>
      </w:r>
    </w:p>
    <w:p w14:paraId="62D8DD8B" w14:textId="77777777" w:rsidR="00506231" w:rsidRPr="005C5FB8" w:rsidRDefault="00506231" w:rsidP="00506231">
      <w:pPr>
        <w:pStyle w:val="Heading3"/>
      </w:pPr>
      <w:r w:rsidRPr="005C5FB8">
        <w:t xml:space="preserve">Research Governance Review </w:t>
      </w:r>
    </w:p>
    <w:p w14:paraId="34B7F83C" w14:textId="51A7D961" w:rsidR="00506231" w:rsidRPr="00825B85" w:rsidRDefault="00506231" w:rsidP="00297C9B">
      <w:pPr>
        <w:pStyle w:val="BulletedListLevel1"/>
        <w:numPr>
          <w:ilvl w:val="0"/>
          <w:numId w:val="1"/>
        </w:numPr>
        <w:tabs>
          <w:tab w:val="clear" w:pos="567"/>
        </w:tabs>
        <w:autoSpaceDE w:val="0"/>
        <w:autoSpaceDN w:val="0"/>
        <w:adjustRightInd w:val="0"/>
        <w:spacing w:before="120" w:after="120"/>
        <w:rPr>
          <w:rFonts w:cs="Calibri"/>
          <w:color w:val="000000"/>
          <w:lang w:eastAsia="en-AU"/>
        </w:rPr>
      </w:pPr>
      <w:r w:rsidRPr="00825B85">
        <w:rPr>
          <w:lang w:eastAsia="en-AU"/>
        </w:rPr>
        <w:t xml:space="preserve">The institution providing the non-HREC level of review must ensure that a process of research governance review/institutional authorisation/site specific assessment (referred to collectively as SSA) is undertaken by </w:t>
      </w:r>
      <w:r w:rsidR="005D1855">
        <w:rPr>
          <w:lang w:eastAsia="en-AU"/>
        </w:rPr>
        <w:t>each</w:t>
      </w:r>
      <w:r w:rsidRPr="00825B85">
        <w:rPr>
          <w:lang w:eastAsia="en-AU"/>
        </w:rPr>
        <w:t xml:space="preserve"> participating site</w:t>
      </w:r>
      <w:r w:rsidR="005D1855">
        <w:rPr>
          <w:lang w:eastAsia="en-AU"/>
        </w:rPr>
        <w:t>s within the Tasmanian</w:t>
      </w:r>
      <w:r w:rsidRPr="00825B85">
        <w:rPr>
          <w:lang w:eastAsia="en-AU"/>
        </w:rPr>
        <w:t xml:space="preserve"> publicly funded health organisation. </w:t>
      </w:r>
    </w:p>
    <w:p w14:paraId="10BAEE5E" w14:textId="44240BC7" w:rsidR="00506231" w:rsidRPr="000B59CB" w:rsidRDefault="00506231" w:rsidP="00297C9B">
      <w:pPr>
        <w:pStyle w:val="BulletedListLevel1"/>
        <w:numPr>
          <w:ilvl w:val="0"/>
          <w:numId w:val="1"/>
        </w:numPr>
        <w:tabs>
          <w:tab w:val="clear" w:pos="567"/>
        </w:tabs>
        <w:autoSpaceDE w:val="0"/>
        <w:autoSpaceDN w:val="0"/>
        <w:adjustRightInd w:val="0"/>
        <w:spacing w:before="120" w:after="120"/>
        <w:rPr>
          <w:rFonts w:cs="Calibri"/>
          <w:b/>
          <w:bCs/>
          <w:color w:val="000000"/>
          <w:lang w:eastAsia="en-AU"/>
        </w:rPr>
      </w:pPr>
      <w:r w:rsidRPr="000B59CB">
        <w:rPr>
          <w:rFonts w:cs="Calibri"/>
          <w:b/>
          <w:bCs/>
          <w:color w:val="000000"/>
          <w:lang w:eastAsia="en-AU"/>
        </w:rPr>
        <w:t>A h</w:t>
      </w:r>
      <w:r w:rsidR="00364565">
        <w:rPr>
          <w:rFonts w:cs="Calibri"/>
          <w:b/>
          <w:bCs/>
          <w:color w:val="000000"/>
          <w:lang w:eastAsia="en-AU"/>
        </w:rPr>
        <w:t>ealth and medical</w:t>
      </w:r>
      <w:r w:rsidRPr="000B59CB">
        <w:rPr>
          <w:rFonts w:cs="Calibri"/>
          <w:b/>
          <w:bCs/>
          <w:color w:val="000000"/>
          <w:lang w:eastAsia="en-AU"/>
        </w:rPr>
        <w:t xml:space="preserve"> research project must not commence at a site until the</w:t>
      </w:r>
      <w:r w:rsidR="00364565">
        <w:rPr>
          <w:rFonts w:cs="Calibri"/>
          <w:b/>
          <w:bCs/>
          <w:color w:val="000000"/>
          <w:lang w:eastAsia="en-AU"/>
        </w:rPr>
        <w:t xml:space="preserve"> research </w:t>
      </w:r>
      <w:r w:rsidRPr="000B59CB">
        <w:rPr>
          <w:rFonts w:cs="Calibri"/>
          <w:b/>
          <w:bCs/>
          <w:color w:val="000000"/>
          <w:lang w:eastAsia="en-AU"/>
        </w:rPr>
        <w:t xml:space="preserve">project has received site authorisation </w:t>
      </w:r>
      <w:r w:rsidR="006362EB">
        <w:rPr>
          <w:rFonts w:cs="Calibri"/>
          <w:b/>
          <w:bCs/>
          <w:color w:val="000000"/>
          <w:lang w:eastAsia="en-AU"/>
        </w:rPr>
        <w:t xml:space="preserve">from the CE (or equivalent Delegated Authority) </w:t>
      </w:r>
      <w:r w:rsidRPr="000B59CB">
        <w:rPr>
          <w:rFonts w:cs="Calibri"/>
          <w:b/>
          <w:bCs/>
          <w:color w:val="000000"/>
          <w:lang w:eastAsia="en-AU"/>
        </w:rPr>
        <w:t xml:space="preserve">at the site where the </w:t>
      </w:r>
      <w:r w:rsidR="006362EB">
        <w:rPr>
          <w:rFonts w:cs="Calibri"/>
          <w:b/>
          <w:bCs/>
          <w:color w:val="000000"/>
          <w:lang w:eastAsia="en-AU"/>
        </w:rPr>
        <w:t>pro</w:t>
      </w:r>
      <w:r w:rsidR="009F2CE8">
        <w:rPr>
          <w:rFonts w:cs="Calibri"/>
          <w:b/>
          <w:bCs/>
          <w:color w:val="000000"/>
          <w:lang w:eastAsia="en-AU"/>
        </w:rPr>
        <w:t>po</w:t>
      </w:r>
      <w:r w:rsidR="006362EB">
        <w:rPr>
          <w:rFonts w:cs="Calibri"/>
          <w:b/>
          <w:bCs/>
          <w:color w:val="000000"/>
          <w:lang w:eastAsia="en-AU"/>
        </w:rPr>
        <w:t xml:space="preserve">sed </w:t>
      </w:r>
      <w:r w:rsidRPr="000B59CB">
        <w:rPr>
          <w:rFonts w:cs="Calibri"/>
          <w:b/>
          <w:bCs/>
          <w:color w:val="000000"/>
          <w:lang w:eastAsia="en-AU"/>
        </w:rPr>
        <w:t>research</w:t>
      </w:r>
      <w:r w:rsidR="006362EB">
        <w:rPr>
          <w:rFonts w:cs="Calibri"/>
          <w:b/>
          <w:bCs/>
          <w:color w:val="000000"/>
          <w:lang w:eastAsia="en-AU"/>
        </w:rPr>
        <w:t xml:space="preserve"> project</w:t>
      </w:r>
      <w:r w:rsidRPr="000B59CB">
        <w:rPr>
          <w:rFonts w:cs="Calibri"/>
          <w:b/>
          <w:bCs/>
          <w:color w:val="000000"/>
          <w:lang w:eastAsia="en-AU"/>
        </w:rPr>
        <w:t xml:space="preserve"> is to be conducted</w:t>
      </w:r>
      <w:r w:rsidR="000B59CB">
        <w:rPr>
          <w:rFonts w:cs="Calibri"/>
          <w:b/>
          <w:bCs/>
          <w:color w:val="000000"/>
          <w:lang w:eastAsia="en-AU"/>
        </w:rPr>
        <w:t xml:space="preserve"> regardless of the level</w:t>
      </w:r>
      <w:r w:rsidR="008A0D30">
        <w:rPr>
          <w:rFonts w:cs="Calibri"/>
          <w:b/>
          <w:bCs/>
          <w:color w:val="000000"/>
          <w:lang w:eastAsia="en-AU"/>
        </w:rPr>
        <w:t xml:space="preserve"> of risk</w:t>
      </w:r>
      <w:r w:rsidR="000B59CB">
        <w:rPr>
          <w:rFonts w:cs="Calibri"/>
          <w:b/>
          <w:bCs/>
          <w:color w:val="000000"/>
          <w:lang w:eastAsia="en-AU"/>
        </w:rPr>
        <w:t xml:space="preserve"> to the participant. </w:t>
      </w:r>
    </w:p>
    <w:p w14:paraId="3EE92A8D" w14:textId="77777777" w:rsidR="006813E3" w:rsidRDefault="006813E3">
      <w:pPr>
        <w:keepLines w:val="0"/>
        <w:tabs>
          <w:tab w:val="clear" w:pos="567"/>
        </w:tabs>
        <w:spacing w:after="0" w:line="240" w:lineRule="auto"/>
        <w:rPr>
          <w:rFonts w:cs="Arial"/>
          <w:b/>
          <w:bCs/>
          <w:iCs/>
          <w:sz w:val="28"/>
          <w:szCs w:val="28"/>
        </w:rPr>
      </w:pPr>
      <w:r>
        <w:br w:type="page"/>
      </w:r>
    </w:p>
    <w:p w14:paraId="7D84A9D4" w14:textId="295F0FAD" w:rsidR="00506231" w:rsidRPr="008A14BF" w:rsidRDefault="00506231" w:rsidP="009B781D">
      <w:pPr>
        <w:pStyle w:val="Heading3"/>
        <w:spacing w:after="120"/>
        <w:rPr>
          <w:lang w:eastAsia="en-AU"/>
        </w:rPr>
      </w:pPr>
      <w:r w:rsidRPr="00506231">
        <w:lastRenderedPageBreak/>
        <w:t>Roles</w:t>
      </w:r>
      <w:r>
        <w:rPr>
          <w:lang w:eastAsia="en-AU"/>
        </w:rPr>
        <w:t xml:space="preserve"> and Responsibilities/Delegations</w:t>
      </w:r>
    </w:p>
    <w:p w14:paraId="0A2C2B17" w14:textId="0F35A0F9" w:rsidR="00506231" w:rsidRPr="00976CCC" w:rsidRDefault="00506231" w:rsidP="009B781D">
      <w:pPr>
        <w:pStyle w:val="Heading4"/>
        <w:spacing w:after="120"/>
        <w:rPr>
          <w:b w:val="0"/>
          <w:bCs w:val="0"/>
        </w:rPr>
      </w:pPr>
      <w:r w:rsidRPr="002D2798">
        <w:t>Chief Executive (CE)/Chief Executive Officer (CEO) (or equivalent)</w:t>
      </w:r>
      <w:r w:rsidR="00976CCC">
        <w:t xml:space="preserve"> </w:t>
      </w:r>
      <w:r w:rsidRPr="00976CCC">
        <w:rPr>
          <w:b w:val="0"/>
          <w:bCs w:val="0"/>
        </w:rPr>
        <w:t>–</w:t>
      </w:r>
      <w:r w:rsidRPr="002D2798">
        <w:t xml:space="preserve"> </w:t>
      </w:r>
      <w:r w:rsidRPr="00976CCC">
        <w:rPr>
          <w:b w:val="0"/>
          <w:bCs w:val="0"/>
        </w:rPr>
        <w:t>is responsible for:</w:t>
      </w:r>
    </w:p>
    <w:p w14:paraId="5B7DBF96" w14:textId="3D748A65" w:rsidR="00506231" w:rsidRPr="002D2798" w:rsidRDefault="00506231" w:rsidP="009B781D">
      <w:pPr>
        <w:pStyle w:val="BulletedListLevel1"/>
        <w:numPr>
          <w:ilvl w:val="0"/>
          <w:numId w:val="1"/>
        </w:numPr>
        <w:spacing w:after="120"/>
      </w:pPr>
      <w:r w:rsidRPr="002D2798">
        <w:t xml:space="preserve">Ensuring adequate resources and structures are in place for effective research governance to meet the requirements </w:t>
      </w:r>
      <w:r w:rsidR="009F2CE8">
        <w:t xml:space="preserve">of </w:t>
      </w:r>
      <w:r w:rsidRPr="002D2798">
        <w:t xml:space="preserve">this policy directive and national safety standards; and promote and support a culture of safety and high-quality for research activities. </w:t>
      </w:r>
    </w:p>
    <w:p w14:paraId="022BBA1C" w14:textId="77777777" w:rsidR="00506231" w:rsidRPr="002D2798" w:rsidRDefault="00506231" w:rsidP="009B781D">
      <w:pPr>
        <w:pStyle w:val="Heading4"/>
        <w:spacing w:after="120"/>
      </w:pPr>
      <w:r w:rsidRPr="002D2798">
        <w:t xml:space="preserve">Executive Director/Director (or equivalent) </w:t>
      </w:r>
      <w:r w:rsidRPr="00976CCC">
        <w:rPr>
          <w:b w:val="0"/>
          <w:bCs w:val="0"/>
        </w:rPr>
        <w:t>– is responsible for:</w:t>
      </w:r>
    </w:p>
    <w:p w14:paraId="628F64C4" w14:textId="77777777" w:rsidR="00506231" w:rsidRPr="002D2798" w:rsidRDefault="00506231" w:rsidP="009B781D">
      <w:pPr>
        <w:pStyle w:val="BulletedListLevel1"/>
        <w:numPr>
          <w:ilvl w:val="0"/>
          <w:numId w:val="1"/>
        </w:numPr>
        <w:spacing w:after="120"/>
      </w:pPr>
      <w:r w:rsidRPr="002D2798">
        <w:t>Ensuring compliance with this guideline and promote and support a culture of safety and high-quality in the conduct of research activities conducted at their public health service site.</w:t>
      </w:r>
    </w:p>
    <w:p w14:paraId="32198D92" w14:textId="77777777" w:rsidR="00506231" w:rsidRPr="00976CCC" w:rsidRDefault="00506231" w:rsidP="009B781D">
      <w:pPr>
        <w:pStyle w:val="Heading4"/>
        <w:spacing w:after="120"/>
        <w:rPr>
          <w:b w:val="0"/>
          <w:bCs w:val="0"/>
        </w:rPr>
      </w:pPr>
      <w:r w:rsidRPr="002D2798">
        <w:t xml:space="preserve">Heads of Department/Division/Supporting Departments </w:t>
      </w:r>
      <w:r w:rsidRPr="00976CCC">
        <w:rPr>
          <w:b w:val="0"/>
          <w:bCs w:val="0"/>
        </w:rPr>
        <w:t>– are responsible for:</w:t>
      </w:r>
    </w:p>
    <w:p w14:paraId="1958E6C5" w14:textId="69C62F24" w:rsidR="00506231" w:rsidRDefault="00506231" w:rsidP="009B781D">
      <w:pPr>
        <w:pStyle w:val="BulletedListLevel1"/>
        <w:numPr>
          <w:ilvl w:val="0"/>
          <w:numId w:val="1"/>
        </w:numPr>
        <w:spacing w:after="120"/>
        <w:rPr>
          <w:rFonts w:cs="UniversLTStd-Light"/>
          <w:bCs/>
          <w:lang w:eastAsia="en-AU"/>
        </w:rPr>
      </w:pPr>
      <w:r w:rsidRPr="002D2798">
        <w:rPr>
          <w:lang w:eastAsia="en-AU"/>
        </w:rPr>
        <w:t xml:space="preserve">Ensuring alignment of the research project to institutional and/or departmental strategic plans and priorities, and </w:t>
      </w:r>
      <w:r w:rsidRPr="002D2798">
        <w:rPr>
          <w:rFonts w:cs="UniversLTStd-Light"/>
          <w:bCs/>
          <w:lang w:eastAsia="en-AU"/>
        </w:rPr>
        <w:t>the institution has the appropriate facilities and infrastructure to conduct the research.</w:t>
      </w:r>
    </w:p>
    <w:p w14:paraId="17D62D91" w14:textId="0720D00A" w:rsidR="00976CCC" w:rsidRPr="002D2798" w:rsidRDefault="00976CCC" w:rsidP="009B781D">
      <w:pPr>
        <w:pStyle w:val="Heading4"/>
        <w:spacing w:after="120"/>
      </w:pPr>
      <w:r w:rsidRPr="002D2798">
        <w:t xml:space="preserve">Non-HREC Committee </w:t>
      </w:r>
      <w:r w:rsidRPr="00976CCC">
        <w:rPr>
          <w:b w:val="0"/>
          <w:bCs w:val="0"/>
        </w:rPr>
        <w:t>- is responsible for:</w:t>
      </w:r>
    </w:p>
    <w:p w14:paraId="0E9ED53E" w14:textId="4C65C1F9" w:rsidR="00976CCC" w:rsidRPr="002D2798" w:rsidRDefault="00976CCC" w:rsidP="009B781D">
      <w:pPr>
        <w:pStyle w:val="BulletedListLevel1"/>
        <w:numPr>
          <w:ilvl w:val="0"/>
          <w:numId w:val="1"/>
        </w:numPr>
        <w:spacing w:after="120"/>
      </w:pPr>
      <w:r w:rsidRPr="002D2798">
        <w:t xml:space="preserve">Reviewing the proposed human research project to form a view on its ethical and scientific acceptability (in accordance with the National Statement and this Guideline) and providing the CPI with the outcome of the ethical review. The </w:t>
      </w:r>
      <w:r w:rsidR="008A0D30">
        <w:rPr>
          <w:lang w:eastAsia="en-AU"/>
        </w:rPr>
        <w:t>non-HREC</w:t>
      </w:r>
      <w:r w:rsidR="008A0D30" w:rsidRPr="009F00D0">
        <w:rPr>
          <w:lang w:eastAsia="en-AU"/>
        </w:rPr>
        <w:t xml:space="preserve"> </w:t>
      </w:r>
      <w:r w:rsidR="008A0D30">
        <w:rPr>
          <w:lang w:eastAsia="en-AU"/>
        </w:rPr>
        <w:t xml:space="preserve">committee </w:t>
      </w:r>
      <w:r w:rsidRPr="002D2798">
        <w:t>decision may include referring t</w:t>
      </w:r>
      <w:r w:rsidR="00E913C7">
        <w:t>he project to</w:t>
      </w:r>
      <w:r w:rsidRPr="002D2798">
        <w:t xml:space="preserve"> the full HREC.</w:t>
      </w:r>
    </w:p>
    <w:p w14:paraId="7E675C86" w14:textId="77777777" w:rsidR="00976CCC" w:rsidRPr="002D2798" w:rsidRDefault="00976CCC" w:rsidP="009B781D">
      <w:pPr>
        <w:pStyle w:val="BulletedListLevel1"/>
        <w:numPr>
          <w:ilvl w:val="0"/>
          <w:numId w:val="1"/>
        </w:numPr>
        <w:spacing w:after="120"/>
      </w:pPr>
      <w:r w:rsidRPr="002D2798">
        <w:t xml:space="preserve">Monitoring the conduct of the research project including annual progress and/or final reports, safety events particularly misconduct of researchers. </w:t>
      </w:r>
    </w:p>
    <w:p w14:paraId="730B695E" w14:textId="47DBE7D4" w:rsidR="00976CCC" w:rsidRPr="00976CCC" w:rsidRDefault="00976CCC" w:rsidP="009B781D">
      <w:pPr>
        <w:pStyle w:val="BulletedListLevel1"/>
        <w:numPr>
          <w:ilvl w:val="0"/>
          <w:numId w:val="1"/>
        </w:numPr>
        <w:spacing w:after="120"/>
        <w:rPr>
          <w:rFonts w:cs="UniversLTStd-Light"/>
          <w:bCs/>
          <w:lang w:eastAsia="en-AU"/>
        </w:rPr>
      </w:pPr>
      <w:r w:rsidRPr="002D2798">
        <w:t>Ensure the Terms of Reference (</w:t>
      </w:r>
      <w:proofErr w:type="spellStart"/>
      <w:r w:rsidRPr="002D2798">
        <w:t>ToR</w:t>
      </w:r>
      <w:proofErr w:type="spellEnd"/>
      <w:r w:rsidRPr="002D2798">
        <w:t xml:space="preserve">) should include membership and meeting dates and reporting arrangements </w:t>
      </w:r>
      <w:r w:rsidR="00E913C7">
        <w:t>if the</w:t>
      </w:r>
      <w:r w:rsidRPr="002D2798">
        <w:t xml:space="preserve"> </w:t>
      </w:r>
      <w:r w:rsidR="008A0D30">
        <w:rPr>
          <w:lang w:eastAsia="en-AU"/>
        </w:rPr>
        <w:t>non-HREC</w:t>
      </w:r>
      <w:r w:rsidR="008A0D30" w:rsidRPr="009F00D0">
        <w:rPr>
          <w:lang w:eastAsia="en-AU"/>
        </w:rPr>
        <w:t xml:space="preserve"> </w:t>
      </w:r>
      <w:r w:rsidR="001C6644">
        <w:t xml:space="preserve">person(s) or committee </w:t>
      </w:r>
      <w:r w:rsidRPr="002D2798">
        <w:t>is affiliated</w:t>
      </w:r>
      <w:r w:rsidR="00E913C7">
        <w:t xml:space="preserve"> </w:t>
      </w:r>
      <w:r w:rsidR="001C6644">
        <w:t>with</w:t>
      </w:r>
      <w:r w:rsidR="00E913C7">
        <w:t xml:space="preserve"> a Registered HREC.</w:t>
      </w:r>
      <w:r w:rsidRPr="002D2798">
        <w:t xml:space="preserve"> The </w:t>
      </w:r>
      <w:r w:rsidR="008A0D30">
        <w:rPr>
          <w:lang w:eastAsia="en-AU"/>
        </w:rPr>
        <w:t>non-HREC</w:t>
      </w:r>
      <w:r w:rsidR="008A0D30" w:rsidRPr="009F00D0">
        <w:rPr>
          <w:lang w:eastAsia="en-AU"/>
        </w:rPr>
        <w:t xml:space="preserve"> </w:t>
      </w:r>
      <w:r w:rsidR="008A0D30">
        <w:rPr>
          <w:lang w:eastAsia="en-AU"/>
        </w:rPr>
        <w:t>c</w:t>
      </w:r>
      <w:r w:rsidR="001C6644" w:rsidRPr="001C6644">
        <w:t xml:space="preserve"> </w:t>
      </w:r>
      <w:r w:rsidR="001C6644">
        <w:t xml:space="preserve">person(s) or committee </w:t>
      </w:r>
      <w:r w:rsidRPr="002D2798">
        <w:t xml:space="preserve">will also </w:t>
      </w:r>
      <w:r w:rsidR="001C6644">
        <w:t xml:space="preserve">need to </w:t>
      </w:r>
      <w:r w:rsidRPr="002D2798">
        <w:t>respond to requests for information from the Registered HREC</w:t>
      </w:r>
      <w:r>
        <w:t>.</w:t>
      </w:r>
    </w:p>
    <w:p w14:paraId="4A01F450" w14:textId="39E9E82B" w:rsidR="00976CCC" w:rsidRPr="00976CCC" w:rsidRDefault="00976CCC" w:rsidP="009B781D">
      <w:pPr>
        <w:pStyle w:val="Heading4"/>
        <w:spacing w:after="120"/>
        <w:rPr>
          <w:b w:val="0"/>
          <w:bCs w:val="0"/>
        </w:rPr>
      </w:pPr>
      <w:r w:rsidRPr="00456EC7">
        <w:t>Ethics Officer (EEO)</w:t>
      </w:r>
      <w:r>
        <w:t xml:space="preserve"> </w:t>
      </w:r>
      <w:r w:rsidRPr="00976CCC">
        <w:rPr>
          <w:b w:val="0"/>
          <w:bCs w:val="0"/>
        </w:rPr>
        <w:t>- is responsible for:</w:t>
      </w:r>
    </w:p>
    <w:p w14:paraId="48068517" w14:textId="77777777" w:rsidR="00976CCC" w:rsidRPr="00B8514B" w:rsidRDefault="00976CCC" w:rsidP="009B781D">
      <w:pPr>
        <w:pStyle w:val="BulletedListLevel1"/>
        <w:spacing w:after="120"/>
      </w:pPr>
      <w:r w:rsidRPr="00B8514B">
        <w:t>Provid</w:t>
      </w:r>
      <w:r>
        <w:t>ing</w:t>
      </w:r>
      <w:r w:rsidRPr="00B8514B">
        <w:t xml:space="preserve"> expert advice to investigators seeking to undertake research in accordance with </w:t>
      </w:r>
      <w:r>
        <w:t xml:space="preserve">relevant national standards, </w:t>
      </w:r>
      <w:proofErr w:type="gramStart"/>
      <w:r>
        <w:t>guidelines</w:t>
      </w:r>
      <w:proofErr w:type="gramEnd"/>
      <w:r>
        <w:t xml:space="preserve"> and institutional </w:t>
      </w:r>
      <w:r w:rsidRPr="00B8514B">
        <w:t xml:space="preserve">policies. </w:t>
      </w:r>
    </w:p>
    <w:p w14:paraId="3D2CB001" w14:textId="5D7C87FF" w:rsidR="00976CCC" w:rsidRPr="00B8514B" w:rsidRDefault="00976CCC" w:rsidP="009B781D">
      <w:pPr>
        <w:pStyle w:val="BulletedListLevel1"/>
        <w:spacing w:after="120"/>
      </w:pPr>
      <w:r w:rsidRPr="00B8514B">
        <w:t>Provid</w:t>
      </w:r>
      <w:r>
        <w:t>ing</w:t>
      </w:r>
      <w:r w:rsidRPr="00B8514B">
        <w:t xml:space="preserve"> </w:t>
      </w:r>
      <w:r>
        <w:t>consultative</w:t>
      </w:r>
      <w:r w:rsidRPr="00B8514B">
        <w:t xml:space="preserve"> advice on the </w:t>
      </w:r>
      <w:r>
        <w:t>L</w:t>
      </w:r>
      <w:r w:rsidR="000B6E7A">
        <w:t>R</w:t>
      </w:r>
      <w:r>
        <w:t xml:space="preserve">R / non-HREC process </w:t>
      </w:r>
      <w:r w:rsidRPr="00B8514B">
        <w:t>for</w:t>
      </w:r>
      <w:r>
        <w:t xml:space="preserve"> the</w:t>
      </w:r>
      <w:r w:rsidRPr="00B8514B">
        <w:t xml:space="preserve"> ethical review of research projects</w:t>
      </w:r>
      <w:r>
        <w:t xml:space="preserve">, including consultative advice to refer staff to QA/QI, </w:t>
      </w:r>
      <w:proofErr w:type="gramStart"/>
      <w:r>
        <w:t>evaluation</w:t>
      </w:r>
      <w:proofErr w:type="gramEnd"/>
      <w:r>
        <w:t xml:space="preserve"> and audit pathways.  </w:t>
      </w:r>
    </w:p>
    <w:p w14:paraId="7668D85F" w14:textId="0D7A1B54" w:rsidR="00976CCC" w:rsidRPr="00B8514B" w:rsidRDefault="00976CCC" w:rsidP="009B781D">
      <w:pPr>
        <w:pStyle w:val="BulletedListLevel1"/>
        <w:spacing w:after="120"/>
      </w:pPr>
      <w:r w:rsidRPr="00B8514B">
        <w:t>Provid</w:t>
      </w:r>
      <w:r>
        <w:t>ing</w:t>
      </w:r>
      <w:r w:rsidRPr="00B8514B">
        <w:t xml:space="preserve"> </w:t>
      </w:r>
      <w:r>
        <w:t>high level secretariat support to the person(s) / L</w:t>
      </w:r>
      <w:r w:rsidR="000B6E7A">
        <w:t>R</w:t>
      </w:r>
      <w:r>
        <w:t xml:space="preserve">R committee including documenting </w:t>
      </w:r>
      <w:r w:rsidRPr="00B8514B">
        <w:t>decisions and maintain a current record on research activitie</w:t>
      </w:r>
      <w:r>
        <w:t>s and communicating review outcomes</w:t>
      </w:r>
      <w:r w:rsidRPr="00B8514B">
        <w:t>.</w:t>
      </w:r>
    </w:p>
    <w:p w14:paraId="2F41B5B0" w14:textId="77777777" w:rsidR="00976CCC" w:rsidRPr="000E4808" w:rsidRDefault="00976CCC" w:rsidP="009B781D">
      <w:pPr>
        <w:pStyle w:val="BulletedListLevel1"/>
        <w:spacing w:after="120"/>
      </w:pPr>
      <w:r w:rsidRPr="00B8514B">
        <w:rPr>
          <w:lang w:eastAsia="en-AU"/>
        </w:rPr>
        <w:t>Provid</w:t>
      </w:r>
      <w:r>
        <w:rPr>
          <w:lang w:eastAsia="en-AU"/>
        </w:rPr>
        <w:t xml:space="preserve">ing </w:t>
      </w:r>
      <w:r w:rsidRPr="00B8514B">
        <w:rPr>
          <w:lang w:eastAsia="en-AU"/>
        </w:rPr>
        <w:t xml:space="preserve">ongoing monitoring of research activities, including managing amendments, adverse events, annual </w:t>
      </w:r>
      <w:proofErr w:type="gramStart"/>
      <w:r w:rsidRPr="00B8514B">
        <w:rPr>
          <w:lang w:eastAsia="en-AU"/>
        </w:rPr>
        <w:t>progress</w:t>
      </w:r>
      <w:proofErr w:type="gramEnd"/>
      <w:r w:rsidRPr="00B8514B">
        <w:rPr>
          <w:lang w:eastAsia="en-AU"/>
        </w:rPr>
        <w:t xml:space="preserve"> and final reports, </w:t>
      </w:r>
      <w:r w:rsidRPr="00B8514B">
        <w:rPr>
          <w:rFonts w:eastAsia="Calibri"/>
          <w:lang w:eastAsia="en-AU"/>
        </w:rPr>
        <w:t>managing appeals and notification of complaints, misconduct and conflicts of interest.</w:t>
      </w:r>
    </w:p>
    <w:p w14:paraId="2EE95F83" w14:textId="20772941" w:rsidR="00976CCC" w:rsidRPr="00976CCC" w:rsidRDefault="00976CCC" w:rsidP="009B781D">
      <w:pPr>
        <w:pStyle w:val="BulletedListLevel1"/>
        <w:spacing w:after="120"/>
      </w:pPr>
      <w:r w:rsidRPr="00B8514B">
        <w:rPr>
          <w:lang w:eastAsia="en-AU"/>
        </w:rPr>
        <w:t>Prepar</w:t>
      </w:r>
      <w:r>
        <w:rPr>
          <w:lang w:eastAsia="en-AU"/>
        </w:rPr>
        <w:t>ing the</w:t>
      </w:r>
      <w:r w:rsidRPr="00B8514B">
        <w:rPr>
          <w:lang w:eastAsia="en-AU"/>
        </w:rPr>
        <w:t xml:space="preserve"> annual reporting of </w:t>
      </w:r>
      <w:r>
        <w:rPr>
          <w:lang w:eastAsia="en-AU"/>
        </w:rPr>
        <w:t>L</w:t>
      </w:r>
      <w:r w:rsidR="000B6E7A">
        <w:rPr>
          <w:lang w:eastAsia="en-AU"/>
        </w:rPr>
        <w:t>R</w:t>
      </w:r>
      <w:r>
        <w:rPr>
          <w:lang w:eastAsia="en-AU"/>
        </w:rPr>
        <w:t>R</w:t>
      </w:r>
      <w:r w:rsidRPr="00B8514B">
        <w:rPr>
          <w:lang w:eastAsia="en-AU"/>
        </w:rPr>
        <w:t xml:space="preserve"> activity to the </w:t>
      </w:r>
      <w:r>
        <w:rPr>
          <w:lang w:eastAsia="en-AU"/>
        </w:rPr>
        <w:t xml:space="preserve">affiliated HREC, NHMRC and DoH. </w:t>
      </w:r>
    </w:p>
    <w:p w14:paraId="4443F1FD" w14:textId="77777777" w:rsidR="009B781D" w:rsidRDefault="009B781D">
      <w:pPr>
        <w:keepLines w:val="0"/>
        <w:tabs>
          <w:tab w:val="clear" w:pos="567"/>
        </w:tabs>
        <w:spacing w:after="0" w:line="240" w:lineRule="auto"/>
        <w:rPr>
          <w:rStyle w:val="Heading4Char"/>
        </w:rPr>
      </w:pPr>
      <w:r>
        <w:rPr>
          <w:rStyle w:val="Heading4Char"/>
        </w:rPr>
        <w:br w:type="page"/>
      </w:r>
    </w:p>
    <w:p w14:paraId="657412FD" w14:textId="32C17F78" w:rsidR="00506231" w:rsidRPr="002D2798" w:rsidRDefault="00506231" w:rsidP="009B781D">
      <w:pPr>
        <w:spacing w:after="120"/>
      </w:pPr>
      <w:r w:rsidRPr="00976CCC">
        <w:rPr>
          <w:rStyle w:val="Heading4Char"/>
        </w:rPr>
        <w:lastRenderedPageBreak/>
        <w:t xml:space="preserve">Coordinating Principal Investigator (CPI) </w:t>
      </w:r>
      <w:r w:rsidR="00976CCC">
        <w:rPr>
          <w:rStyle w:val="Heading4Char"/>
        </w:rPr>
        <w:t>/</w:t>
      </w:r>
      <w:r w:rsidRPr="00976CCC">
        <w:rPr>
          <w:rStyle w:val="Heading4Char"/>
        </w:rPr>
        <w:t xml:space="preserve"> Principal Investigator (PI)</w:t>
      </w:r>
      <w:r w:rsidRPr="002D2798">
        <w:t xml:space="preserve"> - is responsible for: </w:t>
      </w:r>
    </w:p>
    <w:p w14:paraId="3109602F" w14:textId="38F62C31" w:rsidR="00506231" w:rsidRPr="002D2798" w:rsidRDefault="00506231" w:rsidP="009B781D">
      <w:pPr>
        <w:pStyle w:val="BulletedListLevel1"/>
        <w:numPr>
          <w:ilvl w:val="0"/>
          <w:numId w:val="1"/>
        </w:numPr>
        <w:spacing w:after="120"/>
        <w:rPr>
          <w:lang w:eastAsia="en-AU"/>
        </w:rPr>
      </w:pPr>
      <w:r w:rsidRPr="002D2798">
        <w:t>The overall conduct, management and reporting of the project at a public health service site. F</w:t>
      </w:r>
      <w:r w:rsidRPr="002D2798">
        <w:rPr>
          <w:lang w:eastAsia="en-AU"/>
        </w:rPr>
        <w:t xml:space="preserve">or single-centre </w:t>
      </w:r>
      <w:r w:rsidR="00141E3B">
        <w:rPr>
          <w:lang w:eastAsia="en-AU"/>
        </w:rPr>
        <w:t>project</w:t>
      </w:r>
      <w:r w:rsidR="00141E3B" w:rsidRPr="002D2798">
        <w:rPr>
          <w:lang w:eastAsia="en-AU"/>
        </w:rPr>
        <w:t xml:space="preserve"> </w:t>
      </w:r>
      <w:r w:rsidRPr="002D2798">
        <w:rPr>
          <w:lang w:eastAsia="en-AU"/>
        </w:rPr>
        <w:t>the CPI/PI roles are generally synonymous.</w:t>
      </w:r>
    </w:p>
    <w:p w14:paraId="4FBBB09B" w14:textId="16765DE2" w:rsidR="00506231" w:rsidRPr="002D2798" w:rsidRDefault="00506231" w:rsidP="009B781D">
      <w:pPr>
        <w:pStyle w:val="BulletedListLevel1"/>
        <w:numPr>
          <w:ilvl w:val="0"/>
          <w:numId w:val="1"/>
        </w:numPr>
        <w:spacing w:after="120"/>
        <w:rPr>
          <w:lang w:eastAsia="en-AU"/>
        </w:rPr>
      </w:pPr>
      <w:r w:rsidRPr="002D2798">
        <w:t xml:space="preserve">Communicating and reporting to the </w:t>
      </w:r>
      <w:r w:rsidRPr="002D2798">
        <w:rPr>
          <w:lang w:eastAsia="en-AU"/>
        </w:rPr>
        <w:t>L</w:t>
      </w:r>
      <w:r w:rsidR="000B6E7A">
        <w:rPr>
          <w:lang w:eastAsia="en-AU"/>
        </w:rPr>
        <w:t>R</w:t>
      </w:r>
      <w:r w:rsidRPr="002D2798">
        <w:rPr>
          <w:lang w:eastAsia="en-AU"/>
        </w:rPr>
        <w:t xml:space="preserve">R Committee with respect to all information related to the research throughout the life of the research project. </w:t>
      </w:r>
    </w:p>
    <w:p w14:paraId="6E7319B9" w14:textId="55FC7494" w:rsidR="00506231" w:rsidRPr="002D2798" w:rsidRDefault="00506231" w:rsidP="009B781D">
      <w:pPr>
        <w:pStyle w:val="BulletedListLevel1"/>
        <w:numPr>
          <w:ilvl w:val="0"/>
          <w:numId w:val="1"/>
        </w:numPr>
        <w:spacing w:after="120"/>
        <w:rPr>
          <w:lang w:eastAsia="en-AU"/>
        </w:rPr>
      </w:pPr>
      <w:r w:rsidRPr="002D2798">
        <w:rPr>
          <w:lang w:eastAsia="en-AU"/>
        </w:rPr>
        <w:t>Taking on the responsibilities as the PI at their own site (as outlined below) if the L</w:t>
      </w:r>
      <w:r w:rsidR="000B6E7A">
        <w:rPr>
          <w:lang w:eastAsia="en-AU"/>
        </w:rPr>
        <w:t>R</w:t>
      </w:r>
      <w:r w:rsidRPr="002D2798">
        <w:rPr>
          <w:lang w:eastAsia="en-AU"/>
        </w:rPr>
        <w:t xml:space="preserve">R project is single centre. </w:t>
      </w:r>
    </w:p>
    <w:p w14:paraId="50AED23B" w14:textId="77777777" w:rsidR="00506231" w:rsidRPr="002D2798" w:rsidRDefault="00506231" w:rsidP="009B781D">
      <w:pPr>
        <w:pStyle w:val="BulletedListLevel1"/>
        <w:numPr>
          <w:ilvl w:val="0"/>
          <w:numId w:val="1"/>
        </w:numPr>
        <w:spacing w:after="120"/>
        <w:rPr>
          <w:lang w:eastAsia="en-AU"/>
        </w:rPr>
      </w:pPr>
      <w:r w:rsidRPr="002D2798">
        <w:rPr>
          <w:lang w:eastAsia="en-AU"/>
        </w:rPr>
        <w:t xml:space="preserve">Submitting the research governance forms and supporting documents for site authorisation and liaising with the site Research Governance Officer (RGO) throughout the life of the research project. </w:t>
      </w:r>
    </w:p>
    <w:p w14:paraId="168DF32B" w14:textId="77777777" w:rsidR="00506231" w:rsidRPr="002D2798" w:rsidRDefault="00506231" w:rsidP="009B781D">
      <w:pPr>
        <w:spacing w:after="120"/>
      </w:pPr>
      <w:r w:rsidRPr="00976CCC">
        <w:rPr>
          <w:rStyle w:val="Heading4Char"/>
        </w:rPr>
        <w:t>Sponsor</w:t>
      </w:r>
      <w:r w:rsidRPr="002D2798">
        <w:t xml:space="preserve"> - is responsible for:</w:t>
      </w:r>
    </w:p>
    <w:p w14:paraId="5EB688B8" w14:textId="77777777" w:rsidR="00506231" w:rsidRPr="002D2798" w:rsidRDefault="00506231" w:rsidP="009B781D">
      <w:pPr>
        <w:pStyle w:val="BulletedListLevel1"/>
        <w:numPr>
          <w:ilvl w:val="0"/>
          <w:numId w:val="1"/>
        </w:numPr>
        <w:spacing w:after="120"/>
      </w:pPr>
      <w:r w:rsidRPr="002D2798">
        <w:t xml:space="preserve">The initiation, </w:t>
      </w:r>
      <w:proofErr w:type="gramStart"/>
      <w:r w:rsidRPr="002D2798">
        <w:t>management</w:t>
      </w:r>
      <w:proofErr w:type="gramEnd"/>
      <w:r w:rsidRPr="002D2798">
        <w:t xml:space="preserve"> and financing (or arranging for financing) of the trial and carries the medico-legal responsibility associated with the conduct of the research. </w:t>
      </w:r>
    </w:p>
    <w:p w14:paraId="1BA7DB5B" w14:textId="77777777" w:rsidR="00506231" w:rsidRPr="002D2798" w:rsidRDefault="00506231" w:rsidP="009B781D">
      <w:pPr>
        <w:pStyle w:val="BulletedListLevel1"/>
        <w:numPr>
          <w:ilvl w:val="0"/>
          <w:numId w:val="1"/>
        </w:numPr>
        <w:spacing w:after="120"/>
      </w:pPr>
      <w:r w:rsidRPr="002D2798">
        <w:t>Where the public health service is the trial Sponsor (e.g. investigator-initiated/collaborative group) the institutions governing body is the Sponsor and ensures that its overarching governance and quality management systems delineate its responsibilities as a trial sponsor from its responsibilities as a trial site and ensures that the requirements of Sponsorship can be met.</w:t>
      </w:r>
    </w:p>
    <w:p w14:paraId="6049BEEA" w14:textId="77777777" w:rsidR="00506231" w:rsidRPr="002D2798" w:rsidRDefault="00506231" w:rsidP="009B781D">
      <w:pPr>
        <w:spacing w:after="120"/>
        <w:rPr>
          <w:lang w:eastAsia="en-AU"/>
        </w:rPr>
      </w:pPr>
      <w:r w:rsidRPr="002D2798">
        <w:rPr>
          <w:rFonts w:cstheme="minorHAnsi"/>
          <w:b/>
          <w:bCs/>
          <w:lang w:eastAsia="en-AU"/>
        </w:rPr>
        <w:t xml:space="preserve">Research Governance Officer (RGO) (or equivalent) - </w:t>
      </w:r>
      <w:r w:rsidRPr="002D2798">
        <w:rPr>
          <w:rFonts w:cstheme="minorHAnsi"/>
          <w:lang w:eastAsia="en-AU"/>
        </w:rPr>
        <w:t>is</w:t>
      </w:r>
      <w:r w:rsidRPr="002D2798">
        <w:rPr>
          <w:lang w:eastAsia="en-AU"/>
        </w:rPr>
        <w:t xml:space="preserve"> responsible for:</w:t>
      </w:r>
    </w:p>
    <w:p w14:paraId="082E1291" w14:textId="77777777" w:rsidR="00506231" w:rsidRPr="002D2798" w:rsidRDefault="00506231" w:rsidP="009B781D">
      <w:pPr>
        <w:pStyle w:val="BulletedListLevel1"/>
        <w:numPr>
          <w:ilvl w:val="0"/>
          <w:numId w:val="1"/>
        </w:numPr>
        <w:spacing w:after="120"/>
        <w:rPr>
          <w:lang w:eastAsia="en-AU"/>
        </w:rPr>
      </w:pPr>
      <w:r w:rsidRPr="002D2798">
        <w:t>Establishing</w:t>
      </w:r>
      <w:r w:rsidRPr="002D2798">
        <w:rPr>
          <w:lang w:eastAsia="en-AU"/>
        </w:rPr>
        <w:t xml:space="preserve"> effective and efficient processing of the governance review processes within the public health service in accordance with relevant guidelines, regulations, and legislation. </w:t>
      </w:r>
    </w:p>
    <w:p w14:paraId="6E4EDF49" w14:textId="77777777" w:rsidR="00506231" w:rsidRPr="005C5FB8" w:rsidRDefault="00506231" w:rsidP="00506231">
      <w:pPr>
        <w:pStyle w:val="BulletedListLevel1"/>
        <w:numPr>
          <w:ilvl w:val="0"/>
          <w:numId w:val="0"/>
        </w:numPr>
        <w:spacing w:before="120" w:after="120"/>
        <w:ind w:left="567" w:hanging="567"/>
      </w:pPr>
    </w:p>
    <w:p w14:paraId="6363543F" w14:textId="77777777" w:rsidR="00976CCC" w:rsidRDefault="00976CCC" w:rsidP="00D93DBF">
      <w:pPr>
        <w:pStyle w:val="Heading3"/>
        <w:keepLines/>
        <w:rPr>
          <w:lang w:eastAsia="en-AU"/>
        </w:rPr>
        <w:sectPr w:rsidR="00976CCC" w:rsidSect="00F26637">
          <w:type w:val="continuous"/>
          <w:pgSz w:w="11906" w:h="16838" w:code="9"/>
          <w:pgMar w:top="907" w:right="1134" w:bottom="737" w:left="1134" w:header="709" w:footer="709" w:gutter="0"/>
          <w:cols w:space="708"/>
          <w:formProt w:val="0"/>
          <w:docGrid w:linePitch="360"/>
        </w:sectPr>
      </w:pPr>
    </w:p>
    <w:p w14:paraId="25807950" w14:textId="5981CB5B" w:rsidR="00D93DBF" w:rsidRDefault="00E14AAC" w:rsidP="00D93DBF">
      <w:pPr>
        <w:pStyle w:val="Heading3"/>
        <w:keepLines/>
        <w:rPr>
          <w:lang w:eastAsia="en-AU"/>
        </w:rPr>
      </w:pPr>
      <w:r>
        <w:rPr>
          <w:lang w:eastAsia="en-AU"/>
        </w:rPr>
        <w:lastRenderedPageBreak/>
        <w:t>Key Definitions</w:t>
      </w:r>
    </w:p>
    <w:tbl>
      <w:tblPr>
        <w:tblStyle w:val="TableGrid"/>
        <w:tblW w:w="0" w:type="auto"/>
        <w:tblLook w:val="04A0" w:firstRow="1" w:lastRow="0" w:firstColumn="1" w:lastColumn="0" w:noHBand="0" w:noVBand="1"/>
      </w:tblPr>
      <w:tblGrid>
        <w:gridCol w:w="1696"/>
        <w:gridCol w:w="7932"/>
      </w:tblGrid>
      <w:tr w:rsidR="00976CCC" w:rsidRPr="00976CCC" w14:paraId="179E309E" w14:textId="77777777" w:rsidTr="0037562B">
        <w:tc>
          <w:tcPr>
            <w:tcW w:w="1696" w:type="dxa"/>
          </w:tcPr>
          <w:p w14:paraId="53C6C400" w14:textId="0EC9A466" w:rsidR="00976CCC" w:rsidRPr="00976CCC" w:rsidRDefault="00976CCC" w:rsidP="00A10041">
            <w:pPr>
              <w:rPr>
                <w:lang w:eastAsia="en-AU"/>
              </w:rPr>
            </w:pPr>
            <w:r w:rsidRPr="00976CCC">
              <w:rPr>
                <w:lang w:eastAsia="en-AU"/>
              </w:rPr>
              <w:t>Certified HREC</w:t>
            </w:r>
          </w:p>
        </w:tc>
        <w:tc>
          <w:tcPr>
            <w:tcW w:w="7932" w:type="dxa"/>
          </w:tcPr>
          <w:p w14:paraId="0B5A05D3" w14:textId="77777777" w:rsidR="00976CCC" w:rsidRPr="00976CCC" w:rsidRDefault="00976CCC" w:rsidP="00A10041">
            <w:pPr>
              <w:rPr>
                <w:lang w:eastAsia="en-AU"/>
              </w:rPr>
            </w:pPr>
            <w:r w:rsidRPr="00976CCC">
              <w:rPr>
                <w:rFonts w:cs="Calibri"/>
              </w:rPr>
              <w:t xml:space="preserve">A Human Research Ethics Committee (HREC) </w:t>
            </w:r>
            <w:r w:rsidRPr="00976CCC">
              <w:rPr>
                <w:shd w:val="clear" w:color="auto" w:fill="FFFFFF"/>
              </w:rPr>
              <w:t>that is certified under the National Certification Scheme may also be referred to as a Lead HREC.</w:t>
            </w:r>
          </w:p>
        </w:tc>
      </w:tr>
      <w:tr w:rsidR="00976CCC" w:rsidRPr="00976CCC" w14:paraId="4C40CAD4" w14:textId="77777777" w:rsidTr="0037562B">
        <w:tc>
          <w:tcPr>
            <w:tcW w:w="1696" w:type="dxa"/>
          </w:tcPr>
          <w:p w14:paraId="39B8A320" w14:textId="2771F5E5" w:rsidR="00976CCC" w:rsidRPr="00976CCC" w:rsidRDefault="00976CCC" w:rsidP="00A10041">
            <w:pPr>
              <w:rPr>
                <w:lang w:eastAsia="en-AU"/>
              </w:rPr>
            </w:pPr>
            <w:r w:rsidRPr="00976CCC">
              <w:rPr>
                <w:bCs/>
                <w:lang w:eastAsia="en-AU"/>
              </w:rPr>
              <w:t>Ethical review</w:t>
            </w:r>
          </w:p>
        </w:tc>
        <w:tc>
          <w:tcPr>
            <w:tcW w:w="7932" w:type="dxa"/>
          </w:tcPr>
          <w:p w14:paraId="7B56CE99" w14:textId="51C16594" w:rsidR="00976CCC" w:rsidRPr="00976CCC" w:rsidRDefault="00976CCC" w:rsidP="00A10041">
            <w:pPr>
              <w:rPr>
                <w:rFonts w:cs="Calibri"/>
              </w:rPr>
            </w:pPr>
            <w:r w:rsidRPr="00976CCC">
              <w:rPr>
                <w:shd w:val="clear" w:color="auto" w:fill="FFFFFF"/>
              </w:rPr>
              <w:t xml:space="preserve">The </w:t>
            </w:r>
            <w:r w:rsidR="000B6E7A">
              <w:rPr>
                <w:shd w:val="clear" w:color="auto" w:fill="FFFFFF"/>
              </w:rPr>
              <w:t>consideration</w:t>
            </w:r>
            <w:r w:rsidR="000B6E7A" w:rsidRPr="00976CCC">
              <w:rPr>
                <w:shd w:val="clear" w:color="auto" w:fill="FFFFFF"/>
              </w:rPr>
              <w:t xml:space="preserve"> </w:t>
            </w:r>
            <w:r w:rsidRPr="00976CCC">
              <w:rPr>
                <w:shd w:val="clear" w:color="auto" w:fill="FFFFFF"/>
              </w:rPr>
              <w:t>of research by a HREC or other body.</w:t>
            </w:r>
          </w:p>
        </w:tc>
      </w:tr>
      <w:tr w:rsidR="00976CCC" w:rsidRPr="00976CCC" w14:paraId="3CE451AA" w14:textId="77777777" w:rsidTr="0037562B">
        <w:tc>
          <w:tcPr>
            <w:tcW w:w="1696" w:type="dxa"/>
          </w:tcPr>
          <w:p w14:paraId="5B5CF37A" w14:textId="5B7DBF2C" w:rsidR="00976CCC" w:rsidRPr="00976CCC" w:rsidRDefault="00976CCC" w:rsidP="00A10041">
            <w:pPr>
              <w:rPr>
                <w:lang w:eastAsia="en-AU"/>
              </w:rPr>
            </w:pPr>
            <w:r w:rsidRPr="00976CCC">
              <w:t>Ethical approval</w:t>
            </w:r>
          </w:p>
        </w:tc>
        <w:tc>
          <w:tcPr>
            <w:tcW w:w="7932" w:type="dxa"/>
          </w:tcPr>
          <w:p w14:paraId="17F569B0" w14:textId="021BD414" w:rsidR="00976CCC" w:rsidRPr="00976CCC" w:rsidRDefault="00976CCC" w:rsidP="00A10041">
            <w:pPr>
              <w:rPr>
                <w:rFonts w:cs="Calibri"/>
              </w:rPr>
            </w:pPr>
            <w:r w:rsidRPr="00976CCC">
              <w:t>A determination by an ethical review body that a research project satisfies ethical standards and requirements, of the NHMRC, National Statement on Ethical Conduct in Human Research 2007 (National Statement).</w:t>
            </w:r>
          </w:p>
        </w:tc>
      </w:tr>
      <w:tr w:rsidR="00976CCC" w:rsidRPr="00976CCC" w14:paraId="66BEFA7A" w14:textId="77777777" w:rsidTr="0037562B">
        <w:tc>
          <w:tcPr>
            <w:tcW w:w="1696" w:type="dxa"/>
          </w:tcPr>
          <w:p w14:paraId="2188BA01" w14:textId="00A3B59F" w:rsidR="00976CCC" w:rsidRPr="00976CCC" w:rsidRDefault="00976CCC" w:rsidP="00A10041">
            <w:pPr>
              <w:rPr>
                <w:lang w:eastAsia="en-AU"/>
              </w:rPr>
            </w:pPr>
            <w:r w:rsidRPr="00976CCC">
              <w:t>Evaluation</w:t>
            </w:r>
          </w:p>
        </w:tc>
        <w:tc>
          <w:tcPr>
            <w:tcW w:w="7932" w:type="dxa"/>
          </w:tcPr>
          <w:p w14:paraId="155486AB" w14:textId="237B4AA4" w:rsidR="00976CCC" w:rsidRPr="00976CCC" w:rsidRDefault="00976CCC" w:rsidP="00A10041">
            <w:pPr>
              <w:rPr>
                <w:rFonts w:cs="Calibri"/>
              </w:rPr>
            </w:pPr>
            <w:r w:rsidRPr="00976CCC">
              <w:rPr>
                <w:rFonts w:cs="Helvetica Neue LT Std"/>
              </w:rPr>
              <w:t>The systematic collection and analysis of information to make judgements, usually about the effectiveness, efficiency and/or appropriateness of an activity. The term is used in a broad sense to refer to any set of procedures, activities, resources, policies and/or strategies designed to achieve some common goal or objective.</w:t>
            </w:r>
          </w:p>
        </w:tc>
      </w:tr>
      <w:tr w:rsidR="00976CCC" w:rsidRPr="00976CCC" w14:paraId="69840616" w14:textId="77777777" w:rsidTr="0037562B">
        <w:tc>
          <w:tcPr>
            <w:tcW w:w="1696" w:type="dxa"/>
          </w:tcPr>
          <w:p w14:paraId="5DA92302" w14:textId="17371013" w:rsidR="00976CCC" w:rsidRPr="00976CCC" w:rsidRDefault="00976CCC" w:rsidP="00A10041">
            <w:r w:rsidRPr="00976CCC">
              <w:rPr>
                <w:bCs/>
                <w:lang w:eastAsia="en-AU"/>
              </w:rPr>
              <w:t>Human Research Ethics Application Form (HREA)</w:t>
            </w:r>
          </w:p>
        </w:tc>
        <w:tc>
          <w:tcPr>
            <w:tcW w:w="7932" w:type="dxa"/>
          </w:tcPr>
          <w:p w14:paraId="3CB0E668" w14:textId="3670661F" w:rsidR="00976CCC" w:rsidRPr="00976CCC" w:rsidRDefault="00976CCC" w:rsidP="00A10041">
            <w:pPr>
              <w:rPr>
                <w:rFonts w:cs="Helvetica Neue LT Std"/>
              </w:rPr>
            </w:pPr>
            <w:r w:rsidRPr="00976CCC">
              <w:rPr>
                <w:lang w:eastAsia="en-AU"/>
              </w:rPr>
              <w:t>The HREA is a national, web-based application form for investigators of all disciplines to complete research ethics proposals for submission to HRECs. </w:t>
            </w:r>
          </w:p>
        </w:tc>
      </w:tr>
      <w:tr w:rsidR="00976CCC" w:rsidRPr="00976CCC" w14:paraId="31040DA2" w14:textId="77777777" w:rsidTr="0037562B">
        <w:tc>
          <w:tcPr>
            <w:tcW w:w="1696" w:type="dxa"/>
          </w:tcPr>
          <w:p w14:paraId="76A1CE9D" w14:textId="110A761A" w:rsidR="00976CCC" w:rsidRPr="00976CCC" w:rsidRDefault="00976CCC" w:rsidP="00A10041">
            <w:r w:rsidRPr="00976CCC">
              <w:rPr>
                <w:bCs/>
                <w:lang w:eastAsia="en-AU"/>
              </w:rPr>
              <w:t>Human Research Ethics Committee (HREC)</w:t>
            </w:r>
          </w:p>
        </w:tc>
        <w:tc>
          <w:tcPr>
            <w:tcW w:w="7932" w:type="dxa"/>
          </w:tcPr>
          <w:p w14:paraId="38806734" w14:textId="596177D2" w:rsidR="00976CCC" w:rsidRPr="00976CCC" w:rsidRDefault="00976CCC" w:rsidP="00A10041">
            <w:pPr>
              <w:rPr>
                <w:rFonts w:cs="Helvetica Neue LT Std"/>
              </w:rPr>
            </w:pPr>
            <w:r w:rsidRPr="00976CCC">
              <w:rPr>
                <w:lang w:eastAsia="en-AU"/>
              </w:rPr>
              <w:t xml:space="preserve">An institution that has established an ethical review body in accordance with NHMRC, National Statement on Ethical Conduct in Human Research 2007 (National Statement) to conduct the scientific and ethical review of research. </w:t>
            </w:r>
            <w:r w:rsidRPr="00976CCC">
              <w:t>Internationally, HRECs may be referred to as an Institutional Review Board (IRB) and Institutional Ethics Committee (IEC).</w:t>
            </w:r>
          </w:p>
        </w:tc>
      </w:tr>
      <w:tr w:rsidR="00976CCC" w:rsidRPr="00976CCC" w14:paraId="7A9687BE" w14:textId="77777777" w:rsidTr="0037562B">
        <w:tc>
          <w:tcPr>
            <w:tcW w:w="1696" w:type="dxa"/>
          </w:tcPr>
          <w:p w14:paraId="5653DC93" w14:textId="1C88374B" w:rsidR="00976CCC" w:rsidRPr="00976CCC" w:rsidRDefault="00976CCC" w:rsidP="00A10041">
            <w:r w:rsidRPr="00976CCC">
              <w:rPr>
                <w:bCs/>
                <w:lang w:eastAsia="en-AU"/>
              </w:rPr>
              <w:t>Low risk research</w:t>
            </w:r>
          </w:p>
        </w:tc>
        <w:tc>
          <w:tcPr>
            <w:tcW w:w="7932" w:type="dxa"/>
          </w:tcPr>
          <w:p w14:paraId="6A41D508" w14:textId="22D0FB11" w:rsidR="00976CCC" w:rsidRPr="00976CCC" w:rsidRDefault="00005AEF" w:rsidP="00A10041">
            <w:pPr>
              <w:rPr>
                <w:rFonts w:cs="Helvetica Neue LT Std"/>
              </w:rPr>
            </w:pPr>
            <w:r>
              <w:rPr>
                <w:lang w:eastAsia="en-AU"/>
              </w:rPr>
              <w:t>W</w:t>
            </w:r>
            <w:r w:rsidR="00976CCC" w:rsidRPr="00976CCC">
              <w:rPr>
                <w:lang w:eastAsia="en-AU"/>
              </w:rPr>
              <w:t>here the only foreseeable risk to the participant is one of</w:t>
            </w:r>
            <w:r w:rsidR="000B6E7A">
              <w:rPr>
                <w:lang w:eastAsia="en-AU"/>
              </w:rPr>
              <w:t xml:space="preserve"> </w:t>
            </w:r>
            <w:r w:rsidR="00976CCC" w:rsidRPr="00976CCC">
              <w:rPr>
                <w:lang w:eastAsia="en-AU"/>
              </w:rPr>
              <w:t xml:space="preserve">discomfort. Discomforts may include </w:t>
            </w:r>
            <w:r w:rsidR="000B6E7A">
              <w:rPr>
                <w:lang w:eastAsia="en-AU"/>
              </w:rPr>
              <w:t xml:space="preserve">things like </w:t>
            </w:r>
            <w:r w:rsidR="00976CCC" w:rsidRPr="00976CCC">
              <w:rPr>
                <w:lang w:eastAsia="en-AU"/>
              </w:rPr>
              <w:t>minor side-effects of medication, discomforts</w:t>
            </w:r>
            <w:r w:rsidR="000B6E7A">
              <w:rPr>
                <w:lang w:eastAsia="en-AU"/>
              </w:rPr>
              <w:t xml:space="preserve"> </w:t>
            </w:r>
            <w:r w:rsidR="00976CCC" w:rsidRPr="00976CCC">
              <w:rPr>
                <w:lang w:eastAsia="en-AU"/>
              </w:rPr>
              <w:t>related to measuring blood pressure or anxiety induced by an interview. Where the risk, even if unlikely, is more serious than discomfort, the research is not low risk.</w:t>
            </w:r>
          </w:p>
        </w:tc>
      </w:tr>
      <w:tr w:rsidR="00976CCC" w:rsidRPr="00976CCC" w14:paraId="3E48B20F" w14:textId="77777777" w:rsidTr="0037562B">
        <w:tc>
          <w:tcPr>
            <w:tcW w:w="1696" w:type="dxa"/>
          </w:tcPr>
          <w:p w14:paraId="2ABBE362" w14:textId="77777777" w:rsidR="00976CCC" w:rsidRPr="00976CCC" w:rsidRDefault="00976CCC" w:rsidP="00A10041">
            <w:pPr>
              <w:rPr>
                <w:lang w:eastAsia="en-AU"/>
              </w:rPr>
            </w:pPr>
            <w:r w:rsidRPr="00976CCC">
              <w:rPr>
                <w:lang w:eastAsia="en-AU"/>
              </w:rPr>
              <w:t xml:space="preserve">National Certification Scheme </w:t>
            </w:r>
          </w:p>
          <w:p w14:paraId="050EF31B" w14:textId="77777777" w:rsidR="00976CCC" w:rsidRPr="00976CCC" w:rsidRDefault="00976CCC" w:rsidP="00A10041">
            <w:pPr>
              <w:rPr>
                <w:lang w:eastAsia="en-AU"/>
              </w:rPr>
            </w:pPr>
          </w:p>
        </w:tc>
        <w:tc>
          <w:tcPr>
            <w:tcW w:w="7932" w:type="dxa"/>
          </w:tcPr>
          <w:p w14:paraId="299117BF" w14:textId="77777777" w:rsidR="00976CCC" w:rsidRPr="00976CCC" w:rsidRDefault="00976CCC" w:rsidP="00A10041">
            <w:r w:rsidRPr="00976CCC">
              <w:rPr>
                <w:lang w:eastAsia="en-AU"/>
              </w:rPr>
              <w:t xml:space="preserve">The certification of HRECs pertains to the certification of their sponsoring institution. To be identified as a ‘Certified Institution’, the institution’s ethical review process has undergone an independent assessment conducted by the NHMRC. Certification is dependent upon a satisfactory demonstration of institutional conformance with specified criteria which, in part, are based on the National Statement - including that the HREC is appropriately constituted, and that its institution’s policies, processes and procedures meet an agreed national set of criteria. A </w:t>
            </w:r>
            <w:r w:rsidRPr="00976CCC">
              <w:rPr>
                <w:i/>
                <w:iCs/>
                <w:lang w:eastAsia="en-AU"/>
              </w:rPr>
              <w:t xml:space="preserve">List of institutions with certified ethics review processes </w:t>
            </w:r>
            <w:r w:rsidRPr="00976CCC">
              <w:rPr>
                <w:lang w:eastAsia="en-AU"/>
              </w:rPr>
              <w:t>is available from the NHMRC.</w:t>
            </w:r>
          </w:p>
        </w:tc>
      </w:tr>
      <w:tr w:rsidR="00976CCC" w:rsidRPr="00976CCC" w14:paraId="3745D446" w14:textId="77777777" w:rsidTr="0037562B">
        <w:tc>
          <w:tcPr>
            <w:tcW w:w="1696" w:type="dxa"/>
          </w:tcPr>
          <w:p w14:paraId="05E3C1B8" w14:textId="77777777" w:rsidR="00976CCC" w:rsidRPr="00976CCC" w:rsidRDefault="00976CCC" w:rsidP="00A10041">
            <w:pPr>
              <w:rPr>
                <w:lang w:eastAsia="en-AU"/>
              </w:rPr>
            </w:pPr>
            <w:r w:rsidRPr="00976CCC">
              <w:rPr>
                <w:lang w:eastAsia="en-AU"/>
              </w:rPr>
              <w:t>National Mutual Acceptance (NMA)</w:t>
            </w:r>
          </w:p>
        </w:tc>
        <w:tc>
          <w:tcPr>
            <w:tcW w:w="7932" w:type="dxa"/>
          </w:tcPr>
          <w:p w14:paraId="0D8B6246" w14:textId="77777777" w:rsidR="00976CCC" w:rsidRPr="00976CCC" w:rsidRDefault="00976CCC" w:rsidP="00A10041">
            <w:pPr>
              <w:rPr>
                <w:lang w:eastAsia="en-AU"/>
              </w:rPr>
            </w:pPr>
            <w:r w:rsidRPr="00976CCC">
              <w:t xml:space="preserve">The system of single scientific and ethical review of multi-centre human research projects across Australian jurisdictions (public health organisations only) </w:t>
            </w:r>
            <w:r w:rsidRPr="00976CCC">
              <w:rPr>
                <w:shd w:val="clear" w:color="auto" w:fill="FFFFFF"/>
              </w:rPr>
              <w:t>whereby one certified HREC provides the ethical review for a research proposal that is accepted by the other institutions participating in the multi-centre research.</w:t>
            </w:r>
          </w:p>
        </w:tc>
      </w:tr>
      <w:tr w:rsidR="00976CCC" w:rsidRPr="00976CCC" w14:paraId="75B3D0BE" w14:textId="77777777" w:rsidTr="0037562B">
        <w:tc>
          <w:tcPr>
            <w:tcW w:w="1696" w:type="dxa"/>
          </w:tcPr>
          <w:p w14:paraId="16CC0A1C" w14:textId="69C73B2A" w:rsidR="00976CCC" w:rsidRPr="00976CCC" w:rsidRDefault="00976CCC" w:rsidP="00A10041">
            <w:pPr>
              <w:rPr>
                <w:lang w:eastAsia="en-AU"/>
              </w:rPr>
            </w:pPr>
            <w:r w:rsidRPr="00976CCC">
              <w:rPr>
                <w:bCs/>
              </w:rPr>
              <w:lastRenderedPageBreak/>
              <w:t>Negligible risk research</w:t>
            </w:r>
          </w:p>
        </w:tc>
        <w:tc>
          <w:tcPr>
            <w:tcW w:w="7932" w:type="dxa"/>
          </w:tcPr>
          <w:p w14:paraId="2CACA146" w14:textId="1B3597B2" w:rsidR="00976CCC" w:rsidRPr="00976CCC" w:rsidRDefault="00976CCC" w:rsidP="00A10041">
            <w:r w:rsidRPr="00976CCC">
              <w:rPr>
                <w:lang w:eastAsia="en-AU"/>
              </w:rPr>
              <w:t>No foreseeable risk of harm or discomfort and any foreseeable risk is not more than inconvenience to the participants. Inconvenience is the least form of harm that is possible for human participants in research. The most common examples of inconvenience in human research are filling in a form, participating in a survey or giving up time to participate in a research activity. Where the risk, even if unlikely, is more than inconvenience, the research is not negligible risk.</w:t>
            </w:r>
          </w:p>
        </w:tc>
      </w:tr>
      <w:tr w:rsidR="00976CCC" w:rsidRPr="00976CCC" w14:paraId="6A29618C" w14:textId="77777777" w:rsidTr="0037562B">
        <w:tc>
          <w:tcPr>
            <w:tcW w:w="1696" w:type="dxa"/>
          </w:tcPr>
          <w:p w14:paraId="14D6B1E6" w14:textId="2E337732" w:rsidR="00976CCC" w:rsidRPr="00976CCC" w:rsidRDefault="00976CCC" w:rsidP="00A10041">
            <w:pPr>
              <w:rPr>
                <w:bCs/>
              </w:rPr>
            </w:pPr>
            <w:r w:rsidRPr="00976CCC">
              <w:rPr>
                <w:bCs/>
                <w:lang w:eastAsia="en-AU"/>
              </w:rPr>
              <w:t>Non-HREC level alternative</w:t>
            </w:r>
          </w:p>
        </w:tc>
        <w:tc>
          <w:tcPr>
            <w:tcW w:w="7932" w:type="dxa"/>
          </w:tcPr>
          <w:p w14:paraId="0B7387B2" w14:textId="07707DBA" w:rsidR="00976CCC" w:rsidRPr="00976CCC" w:rsidRDefault="00976CCC" w:rsidP="00A10041">
            <w:pPr>
              <w:rPr>
                <w:lang w:eastAsia="en-AU"/>
              </w:rPr>
            </w:pPr>
            <w:r w:rsidRPr="00976CCC">
              <w:rPr>
                <w:lang w:eastAsia="en-AU"/>
              </w:rPr>
              <w:t xml:space="preserve">A person or body (e.g. subcommittee or delegate) that conducts an ethical review of a research project which is an alternative to that of a full HREC. </w:t>
            </w:r>
          </w:p>
        </w:tc>
      </w:tr>
      <w:tr w:rsidR="00976CCC" w:rsidRPr="00976CCC" w14:paraId="2A8A9B7B" w14:textId="77777777" w:rsidTr="0037562B">
        <w:tc>
          <w:tcPr>
            <w:tcW w:w="1696" w:type="dxa"/>
          </w:tcPr>
          <w:p w14:paraId="0CED47CA" w14:textId="77777777" w:rsidR="00976CCC" w:rsidRPr="00976CCC" w:rsidRDefault="00976CCC" w:rsidP="00A10041">
            <w:pPr>
              <w:rPr>
                <w:lang w:eastAsia="en-AU"/>
              </w:rPr>
            </w:pPr>
            <w:r w:rsidRPr="00976CCC">
              <w:rPr>
                <w:bCs/>
                <w:lang w:eastAsia="en-AU"/>
              </w:rPr>
              <w:t>Multi-Centre Research</w:t>
            </w:r>
          </w:p>
        </w:tc>
        <w:tc>
          <w:tcPr>
            <w:tcW w:w="7932" w:type="dxa"/>
          </w:tcPr>
          <w:p w14:paraId="05E7D95E" w14:textId="77777777" w:rsidR="00976CCC" w:rsidRPr="00976CCC" w:rsidRDefault="00976CCC" w:rsidP="00A10041">
            <w:pPr>
              <w:rPr>
                <w:lang w:eastAsia="en-AU"/>
              </w:rPr>
            </w:pPr>
            <w:r w:rsidRPr="00976CCC">
              <w:rPr>
                <w:lang w:eastAsia="en-AU"/>
              </w:rPr>
              <w:t xml:space="preserve">Research that is conducted at more than one site within the Australian public health system. </w:t>
            </w:r>
          </w:p>
        </w:tc>
      </w:tr>
      <w:tr w:rsidR="00976CCC" w:rsidRPr="00976CCC" w14:paraId="2A2A2C36" w14:textId="77777777" w:rsidTr="0037562B">
        <w:tc>
          <w:tcPr>
            <w:tcW w:w="1696" w:type="dxa"/>
          </w:tcPr>
          <w:p w14:paraId="227B773B" w14:textId="77777777" w:rsidR="00976CCC" w:rsidRPr="00976CCC" w:rsidRDefault="00976CCC" w:rsidP="00A10041">
            <w:pPr>
              <w:rPr>
                <w:bCs/>
                <w:lang w:eastAsia="en-AU"/>
              </w:rPr>
            </w:pPr>
            <w:r w:rsidRPr="00976CCC">
              <w:rPr>
                <w:bCs/>
              </w:rPr>
              <w:t>Participant Information and Consent Form (PICF)</w:t>
            </w:r>
          </w:p>
        </w:tc>
        <w:tc>
          <w:tcPr>
            <w:tcW w:w="7932" w:type="dxa"/>
          </w:tcPr>
          <w:p w14:paraId="7599D917" w14:textId="77777777" w:rsidR="00976CCC" w:rsidRPr="00976CCC" w:rsidRDefault="00976CCC" w:rsidP="00A10041">
            <w:pPr>
              <w:rPr>
                <w:lang w:eastAsia="en-AU"/>
              </w:rPr>
            </w:pPr>
            <w:r w:rsidRPr="00976CCC">
              <w:t>The form providing the reason the participant is being invited to take part in the research project. It uses plain language to explain to potential participants in writing a description of the research and includes a Consent Form to sign.</w:t>
            </w:r>
          </w:p>
        </w:tc>
      </w:tr>
      <w:tr w:rsidR="00976CCC" w:rsidRPr="00976CCC" w14:paraId="487DCBC3" w14:textId="77777777" w:rsidTr="0037562B">
        <w:tc>
          <w:tcPr>
            <w:tcW w:w="1696" w:type="dxa"/>
          </w:tcPr>
          <w:p w14:paraId="7B62E908" w14:textId="7EF1E6A0" w:rsidR="00976CCC" w:rsidRPr="00976CCC" w:rsidRDefault="00976CCC" w:rsidP="00A10041">
            <w:pPr>
              <w:rPr>
                <w:bCs/>
              </w:rPr>
            </w:pPr>
            <w:r w:rsidRPr="00976CCC">
              <w:rPr>
                <w:bCs/>
                <w:lang w:eastAsia="en-AU"/>
              </w:rPr>
              <w:t>Quality Improvement (QI)/ Quality Assurance (QA)</w:t>
            </w:r>
          </w:p>
        </w:tc>
        <w:tc>
          <w:tcPr>
            <w:tcW w:w="7932" w:type="dxa"/>
          </w:tcPr>
          <w:p w14:paraId="1C92D839" w14:textId="2129760C" w:rsidR="00976CCC" w:rsidRPr="00976CCC" w:rsidRDefault="00976CCC" w:rsidP="00A10041">
            <w:r w:rsidRPr="00976CCC">
              <w:rPr>
                <w:rFonts w:cs="Helvetica Neue LT Std"/>
              </w:rPr>
              <w:t xml:space="preserve">An activity where the primary purpose is to monitor or improve the quality of service delivered by an individual or an organisation is a QA activity. Terms such as ‘peer review’, ‘quality assurance’, ‘quality improvement’, ‘quality activities’, ‘quality </w:t>
            </w:r>
            <w:proofErr w:type="gramStart"/>
            <w:r w:rsidRPr="00976CCC">
              <w:rPr>
                <w:rFonts w:cs="Helvetica Neue LT Std"/>
              </w:rPr>
              <w:t>studies’</w:t>
            </w:r>
            <w:proofErr w:type="gramEnd"/>
            <w:r w:rsidRPr="00976CCC">
              <w:rPr>
                <w:rFonts w:cs="Helvetica Neue LT Std"/>
              </w:rPr>
              <w:t xml:space="preserve"> and ‘audit’ are often used interchangeably.</w:t>
            </w:r>
            <w:r w:rsidRPr="00976CCC">
              <w:rPr>
                <w:rStyle w:val="A6"/>
                <w:sz w:val="20"/>
                <w:szCs w:val="20"/>
              </w:rPr>
              <w:t xml:space="preserve"> </w:t>
            </w:r>
          </w:p>
        </w:tc>
      </w:tr>
      <w:tr w:rsidR="00976CCC" w:rsidRPr="00976CCC" w14:paraId="7B198AD3" w14:textId="77777777" w:rsidTr="0037562B">
        <w:tc>
          <w:tcPr>
            <w:tcW w:w="1696" w:type="dxa"/>
          </w:tcPr>
          <w:p w14:paraId="23E3EF3D" w14:textId="22A329D5" w:rsidR="00976CCC" w:rsidRPr="00976CCC" w:rsidRDefault="00976CCC" w:rsidP="00A10041">
            <w:pPr>
              <w:rPr>
                <w:bCs/>
                <w:lang w:eastAsia="en-AU"/>
              </w:rPr>
            </w:pPr>
            <w:r w:rsidRPr="00976CCC">
              <w:rPr>
                <w:bCs/>
                <w:lang w:eastAsia="en-AU"/>
              </w:rPr>
              <w:t>Research</w:t>
            </w:r>
          </w:p>
        </w:tc>
        <w:tc>
          <w:tcPr>
            <w:tcW w:w="7932" w:type="dxa"/>
          </w:tcPr>
          <w:p w14:paraId="7A5DC9F4" w14:textId="68888C78" w:rsidR="00976CCC" w:rsidRPr="00976CCC" w:rsidRDefault="00976CCC" w:rsidP="00A10041">
            <w:pPr>
              <w:rPr>
                <w:rFonts w:cs="Helvetica Neue LT Std"/>
              </w:rPr>
            </w:pPr>
            <w:r w:rsidRPr="00976CCC">
              <w:rPr>
                <w:lang w:eastAsia="en-AU"/>
              </w:rPr>
              <w:t>“Original investigation undertaken to gain knowledge, understanding and insight” (</w:t>
            </w:r>
            <w:r w:rsidRPr="00976CCC">
              <w:rPr>
                <w:i/>
                <w:lang w:eastAsia="en-AU"/>
              </w:rPr>
              <w:t>Australian Code for the Responsible Conduct for Research, 2007</w:t>
            </w:r>
            <w:r w:rsidRPr="00976CCC">
              <w:rPr>
                <w:lang w:eastAsia="en-AU"/>
              </w:rPr>
              <w:t xml:space="preserve">). </w:t>
            </w:r>
          </w:p>
        </w:tc>
      </w:tr>
      <w:tr w:rsidR="00976CCC" w:rsidRPr="00976CCC" w14:paraId="0883D32B" w14:textId="77777777" w:rsidTr="0037562B">
        <w:tc>
          <w:tcPr>
            <w:tcW w:w="1696" w:type="dxa"/>
          </w:tcPr>
          <w:p w14:paraId="2EEED9FA" w14:textId="77777777" w:rsidR="00976CCC" w:rsidRPr="00976CCC" w:rsidRDefault="00976CCC" w:rsidP="00A10041">
            <w:pPr>
              <w:rPr>
                <w:lang w:eastAsia="en-AU"/>
              </w:rPr>
            </w:pPr>
            <w:r w:rsidRPr="00976CCC">
              <w:rPr>
                <w:bCs/>
                <w:lang w:eastAsia="en-AU"/>
              </w:rPr>
              <w:t>Single-Centre Trial</w:t>
            </w:r>
          </w:p>
        </w:tc>
        <w:tc>
          <w:tcPr>
            <w:tcW w:w="7932" w:type="dxa"/>
          </w:tcPr>
          <w:p w14:paraId="1C2D14CE" w14:textId="77777777" w:rsidR="00976CCC" w:rsidRPr="00976CCC" w:rsidRDefault="00976CCC" w:rsidP="00A10041">
            <w:pPr>
              <w:rPr>
                <w:lang w:eastAsia="en-AU"/>
              </w:rPr>
            </w:pPr>
            <w:r w:rsidRPr="00976CCC">
              <w:rPr>
                <w:lang w:eastAsia="en-AU"/>
              </w:rPr>
              <w:t xml:space="preserve">Research that is conducted at one site only within the public health system (i.e. single-site research). </w:t>
            </w:r>
          </w:p>
        </w:tc>
      </w:tr>
      <w:tr w:rsidR="00976CCC" w:rsidRPr="00976CCC" w14:paraId="5999C2A5" w14:textId="77777777" w:rsidTr="0037562B">
        <w:tc>
          <w:tcPr>
            <w:tcW w:w="1696" w:type="dxa"/>
          </w:tcPr>
          <w:p w14:paraId="4448D22B" w14:textId="77777777" w:rsidR="00976CCC" w:rsidRPr="00976CCC" w:rsidRDefault="00976CCC" w:rsidP="00A10041">
            <w:pPr>
              <w:rPr>
                <w:bCs/>
                <w:lang w:eastAsia="en-AU"/>
              </w:rPr>
            </w:pPr>
            <w:r w:rsidRPr="00976CCC">
              <w:rPr>
                <w:bCs/>
                <w:lang w:eastAsia="en-AU"/>
              </w:rPr>
              <w:t>Single Ethical Review</w:t>
            </w:r>
          </w:p>
        </w:tc>
        <w:tc>
          <w:tcPr>
            <w:tcW w:w="7932" w:type="dxa"/>
          </w:tcPr>
          <w:p w14:paraId="38B38247" w14:textId="77777777" w:rsidR="00976CCC" w:rsidRPr="00976CCC" w:rsidRDefault="00976CCC" w:rsidP="00A10041">
            <w:pPr>
              <w:rPr>
                <w:lang w:eastAsia="en-AU"/>
              </w:rPr>
            </w:pPr>
            <w:r w:rsidRPr="00976CCC">
              <w:rPr>
                <w:shd w:val="clear" w:color="auto" w:fill="FFFFFF"/>
              </w:rPr>
              <w:t>A process whereby one certified HREC provides the ethical review for a research proposal that is accepted by the other institutions participating in the multi-centre research. See also NMA.</w:t>
            </w:r>
          </w:p>
        </w:tc>
      </w:tr>
      <w:tr w:rsidR="00976CCC" w:rsidRPr="00976CCC" w14:paraId="04FC6F93" w14:textId="77777777" w:rsidTr="0037562B">
        <w:tc>
          <w:tcPr>
            <w:tcW w:w="1696" w:type="dxa"/>
          </w:tcPr>
          <w:p w14:paraId="7ACD2082" w14:textId="77777777" w:rsidR="00976CCC" w:rsidRPr="00976CCC" w:rsidRDefault="00976CCC" w:rsidP="00A10041">
            <w:pPr>
              <w:rPr>
                <w:bCs/>
                <w:lang w:eastAsia="en-AU"/>
              </w:rPr>
            </w:pPr>
            <w:r w:rsidRPr="00976CCC">
              <w:rPr>
                <w:bCs/>
                <w:lang w:eastAsia="en-AU"/>
              </w:rPr>
              <w:t>Site (institution)</w:t>
            </w:r>
          </w:p>
        </w:tc>
        <w:tc>
          <w:tcPr>
            <w:tcW w:w="7932" w:type="dxa"/>
          </w:tcPr>
          <w:p w14:paraId="2A652300" w14:textId="77777777" w:rsidR="00976CCC" w:rsidRPr="00976CCC" w:rsidRDefault="00976CCC" w:rsidP="00A10041">
            <w:pPr>
              <w:rPr>
                <w:lang w:eastAsia="en-AU"/>
              </w:rPr>
            </w:pPr>
            <w:r w:rsidRPr="00976CCC">
              <w:rPr>
                <w:lang w:eastAsia="en-AU"/>
              </w:rPr>
              <w:t>Any public or private entity or medical facility where research is conducted.</w:t>
            </w:r>
          </w:p>
        </w:tc>
      </w:tr>
      <w:tr w:rsidR="00976CCC" w:rsidRPr="00976CCC" w14:paraId="7D1DEDC5" w14:textId="77777777" w:rsidTr="0037562B">
        <w:tc>
          <w:tcPr>
            <w:tcW w:w="1696" w:type="dxa"/>
          </w:tcPr>
          <w:p w14:paraId="63511332" w14:textId="77777777" w:rsidR="00976CCC" w:rsidRPr="00976CCC" w:rsidRDefault="00976CCC" w:rsidP="00A10041">
            <w:pPr>
              <w:rPr>
                <w:lang w:eastAsia="en-AU"/>
              </w:rPr>
            </w:pPr>
            <w:r w:rsidRPr="00976CCC">
              <w:rPr>
                <w:bCs/>
                <w:lang w:eastAsia="en-AU"/>
              </w:rPr>
              <w:t>Site-Specific Assessment (SSA)</w:t>
            </w:r>
          </w:p>
        </w:tc>
        <w:tc>
          <w:tcPr>
            <w:tcW w:w="7932" w:type="dxa"/>
          </w:tcPr>
          <w:p w14:paraId="385A593B" w14:textId="77777777" w:rsidR="00976CCC" w:rsidRPr="00976CCC" w:rsidRDefault="00976CCC" w:rsidP="00A10041">
            <w:pPr>
              <w:rPr>
                <w:lang w:eastAsia="en-AU"/>
              </w:rPr>
            </w:pPr>
            <w:r w:rsidRPr="00976CCC">
              <w:rPr>
                <w:lang w:eastAsia="en-AU"/>
              </w:rPr>
              <w:t>A mechanism used by the health service to ensure that the proposed research project complies with governance requirements, and to consider whether the research should be conducted and supported at the proposed site.</w:t>
            </w:r>
          </w:p>
        </w:tc>
      </w:tr>
      <w:tr w:rsidR="00976CCC" w:rsidRPr="00976CCC" w14:paraId="79E47888" w14:textId="77777777" w:rsidTr="0037562B">
        <w:tc>
          <w:tcPr>
            <w:tcW w:w="1696" w:type="dxa"/>
          </w:tcPr>
          <w:p w14:paraId="00378765" w14:textId="77777777" w:rsidR="00976CCC" w:rsidRPr="00976CCC" w:rsidRDefault="00976CCC" w:rsidP="00A10041">
            <w:pPr>
              <w:rPr>
                <w:lang w:eastAsia="en-AU"/>
              </w:rPr>
            </w:pPr>
            <w:r w:rsidRPr="00976CCC">
              <w:rPr>
                <w:lang w:eastAsia="en-AU"/>
              </w:rPr>
              <w:t>Site Assessment</w:t>
            </w:r>
          </w:p>
        </w:tc>
        <w:tc>
          <w:tcPr>
            <w:tcW w:w="7932" w:type="dxa"/>
          </w:tcPr>
          <w:p w14:paraId="6D51E5A9" w14:textId="77777777" w:rsidR="00976CCC" w:rsidRPr="00976CCC" w:rsidRDefault="00976CCC" w:rsidP="00A10041">
            <w:pPr>
              <w:rPr>
                <w:lang w:eastAsia="en-AU"/>
              </w:rPr>
            </w:pPr>
            <w:r w:rsidRPr="00976CCC">
              <w:t>A process that assesses research against institutional requirements and strategies and any applicable jurisdictional requirements (including legal obligations). The outcome of a site-specific assessment is site authorisation: a determination by an organisation that a research project to be conducted at one or more of its sites or under its auspices satisfies organisational requirements and may commence at the site/s over which it exercises its authority.</w:t>
            </w:r>
          </w:p>
        </w:tc>
      </w:tr>
      <w:tr w:rsidR="00976CCC" w:rsidRPr="00976CCC" w14:paraId="572A34D2" w14:textId="77777777" w:rsidTr="0037562B">
        <w:tc>
          <w:tcPr>
            <w:tcW w:w="1696" w:type="dxa"/>
          </w:tcPr>
          <w:p w14:paraId="4CF0F676" w14:textId="77777777" w:rsidR="00976CCC" w:rsidRPr="00976CCC" w:rsidRDefault="00976CCC" w:rsidP="00A10041">
            <w:pPr>
              <w:rPr>
                <w:lang w:eastAsia="en-AU"/>
              </w:rPr>
            </w:pPr>
            <w:r w:rsidRPr="00976CCC">
              <w:rPr>
                <w:bCs/>
                <w:lang w:eastAsia="en-AU"/>
              </w:rPr>
              <w:lastRenderedPageBreak/>
              <w:t>Site Authorisation</w:t>
            </w:r>
          </w:p>
        </w:tc>
        <w:tc>
          <w:tcPr>
            <w:tcW w:w="7932" w:type="dxa"/>
          </w:tcPr>
          <w:p w14:paraId="532BECD9" w14:textId="77777777" w:rsidR="00976CCC" w:rsidRPr="00976CCC" w:rsidRDefault="00976CCC" w:rsidP="00A10041">
            <w:pPr>
              <w:rPr>
                <w:lang w:eastAsia="en-AU"/>
              </w:rPr>
            </w:pPr>
            <w:r w:rsidRPr="00976CCC">
              <w:t>A determination by an organisation that a research project to be conducted at one or more of its sites or site/s under its auspices satisfies organisational requirements and may commence at the site/s over which it exercises its authority. Site authorisation is the outcome of the site-specific assessment process.</w:t>
            </w:r>
          </w:p>
        </w:tc>
      </w:tr>
    </w:tbl>
    <w:p w14:paraId="7802A54D" w14:textId="77777777" w:rsidR="00D93DBF" w:rsidRDefault="00E14AAC" w:rsidP="00D93DBF">
      <w:pPr>
        <w:pStyle w:val="Heading3"/>
        <w:keepLines/>
        <w:rPr>
          <w:lang w:eastAsia="en-AU"/>
        </w:rPr>
      </w:pPr>
      <w:r>
        <w:rPr>
          <w:lang w:eastAsia="en-AU"/>
        </w:rPr>
        <w:t xml:space="preserve">Related Documents/Legislation </w:t>
      </w:r>
    </w:p>
    <w:p w14:paraId="27F66E73" w14:textId="77777777" w:rsidR="00976CCC" w:rsidRPr="00977D91" w:rsidRDefault="00976CCC" w:rsidP="00976CCC">
      <w:pPr>
        <w:rPr>
          <w:rFonts w:cs="Calibri"/>
        </w:rPr>
      </w:pPr>
      <w:r>
        <w:rPr>
          <w:lang w:eastAsia="en-AU"/>
        </w:rPr>
        <w:t xml:space="preserve">The following documents provide the guidelines and framework for </w:t>
      </w:r>
      <w:r>
        <w:t>national approach to si</w:t>
      </w:r>
      <w:r w:rsidRPr="00977D91">
        <w:t xml:space="preserve">ngle </w:t>
      </w:r>
      <w:r w:rsidRPr="00977D91">
        <w:rPr>
          <w:rFonts w:cs="Calibri"/>
        </w:rPr>
        <w:t xml:space="preserve">for ethical and scientific </w:t>
      </w:r>
      <w:r>
        <w:rPr>
          <w:rFonts w:cs="Calibri"/>
        </w:rPr>
        <w:t>review for</w:t>
      </w:r>
      <w:r>
        <w:t xml:space="preserve"> </w:t>
      </w:r>
      <w:r w:rsidRPr="00977D91">
        <w:rPr>
          <w:rFonts w:cs="Calibri"/>
        </w:rPr>
        <w:t>multi-centre human research project</w:t>
      </w:r>
      <w:r>
        <w:rPr>
          <w:rFonts w:cs="Calibri"/>
        </w:rPr>
        <w:t xml:space="preserve">. </w:t>
      </w:r>
    </w:p>
    <w:p w14:paraId="33F7E7BA" w14:textId="77777777" w:rsidR="00976CCC" w:rsidRPr="002D2798" w:rsidRDefault="00000000" w:rsidP="00297C9B">
      <w:pPr>
        <w:pStyle w:val="BulletedListLevel1"/>
        <w:numPr>
          <w:ilvl w:val="0"/>
          <w:numId w:val="1"/>
        </w:numPr>
      </w:pPr>
      <w:hyperlink r:id="rId20" w:anchor="toc__1593" w:history="1">
        <w:r w:rsidR="00976CCC" w:rsidRPr="002D2798">
          <w:rPr>
            <w:rStyle w:val="Hyperlink"/>
            <w:shd w:val="clear" w:color="auto" w:fill="FFFFFF"/>
          </w:rPr>
          <w:t xml:space="preserve">National Health and Medical Research Council (NHMRC), </w:t>
        </w:r>
        <w:r w:rsidR="00976CCC" w:rsidRPr="002D2798">
          <w:rPr>
            <w:rStyle w:val="Hyperlink"/>
          </w:rPr>
          <w:t xml:space="preserve">National </w:t>
        </w:r>
        <w:r w:rsidR="00976CCC" w:rsidRPr="002D2798">
          <w:rPr>
            <w:rStyle w:val="Hyperlink"/>
            <w:rFonts w:cs="Arial"/>
          </w:rPr>
          <w:t>Statement on Ethical Conduct in Human Research</w:t>
        </w:r>
      </w:hyperlink>
    </w:p>
    <w:p w14:paraId="48819C04" w14:textId="77777777" w:rsidR="00976CCC" w:rsidRPr="00952A90" w:rsidRDefault="00000000" w:rsidP="00297C9B">
      <w:pPr>
        <w:pStyle w:val="ListParagraph"/>
        <w:numPr>
          <w:ilvl w:val="0"/>
          <w:numId w:val="25"/>
        </w:numPr>
        <w:spacing w:before="120" w:after="120"/>
        <w:ind w:left="567" w:hanging="567"/>
        <w:contextualSpacing w:val="0"/>
      </w:pPr>
      <w:hyperlink r:id="rId21" w:history="1">
        <w:r w:rsidR="00976CCC">
          <w:rPr>
            <w:rStyle w:val="Hyperlink"/>
          </w:rPr>
          <w:t>NHMRC, F</w:t>
        </w:r>
        <w:r w:rsidR="00976CCC" w:rsidRPr="00952A90">
          <w:rPr>
            <w:rStyle w:val="Hyperlink"/>
          </w:rPr>
          <w:t>ramework for Monitoring: Guidance for the National Approach to Single Ethical Review of Multi-centre Research</w:t>
        </w:r>
      </w:hyperlink>
      <w:r w:rsidR="00976CCC" w:rsidRPr="00952A90">
        <w:t xml:space="preserve"> </w:t>
      </w:r>
    </w:p>
    <w:p w14:paraId="2F4B304D" w14:textId="77777777" w:rsidR="00976CCC" w:rsidRPr="00952A90" w:rsidRDefault="00000000" w:rsidP="00297C9B">
      <w:pPr>
        <w:pStyle w:val="ListParagraph"/>
        <w:numPr>
          <w:ilvl w:val="0"/>
          <w:numId w:val="25"/>
        </w:numPr>
        <w:spacing w:before="120" w:after="120"/>
        <w:ind w:left="567" w:hanging="567"/>
        <w:contextualSpacing w:val="0"/>
      </w:pPr>
      <w:hyperlink r:id="rId22" w:history="1">
        <w:r w:rsidR="00976CCC">
          <w:rPr>
            <w:rStyle w:val="Hyperlink"/>
          </w:rPr>
          <w:t>NHMRC, R</w:t>
        </w:r>
        <w:r w:rsidR="00976CCC" w:rsidRPr="00952A90">
          <w:rPr>
            <w:rStyle w:val="Hyperlink"/>
          </w:rPr>
          <w:t xml:space="preserve">esearch Governance Handbook: Guidance for the National Approach to Single Ethical Review </w:t>
        </w:r>
      </w:hyperlink>
    </w:p>
    <w:p w14:paraId="064F62F2" w14:textId="77777777" w:rsidR="00976CCC" w:rsidRPr="00061B13" w:rsidRDefault="00976CCC" w:rsidP="00297C9B">
      <w:pPr>
        <w:pStyle w:val="ListParagraph"/>
        <w:keepLines w:val="0"/>
        <w:numPr>
          <w:ilvl w:val="0"/>
          <w:numId w:val="26"/>
        </w:numPr>
        <w:tabs>
          <w:tab w:val="clear" w:pos="567"/>
        </w:tabs>
        <w:autoSpaceDE w:val="0"/>
        <w:autoSpaceDN w:val="0"/>
        <w:adjustRightInd w:val="0"/>
        <w:spacing w:before="120" w:after="120"/>
        <w:ind w:left="567" w:hanging="567"/>
        <w:contextualSpacing w:val="0"/>
        <w:rPr>
          <w:rStyle w:val="Hyperlink"/>
        </w:rPr>
      </w:pPr>
      <w:r>
        <w:rPr>
          <w:rFonts w:cs="Calibri"/>
          <w:color w:val="000000"/>
          <w:lang w:eastAsia="en-AU"/>
        </w:rPr>
        <w:fldChar w:fldCharType="begin"/>
      </w:r>
      <w:r>
        <w:rPr>
          <w:rFonts w:cs="Calibri"/>
          <w:color w:val="000000"/>
          <w:lang w:eastAsia="en-AU"/>
        </w:rPr>
        <w:instrText xml:space="preserve"> HYPERLINK "https://www.health.tas.gov.au/research/national_mutual_acceptance" </w:instrText>
      </w:r>
      <w:r>
        <w:rPr>
          <w:rFonts w:cs="Calibri"/>
          <w:color w:val="000000"/>
          <w:lang w:eastAsia="en-AU"/>
        </w:rPr>
      </w:r>
      <w:r>
        <w:rPr>
          <w:rFonts w:cs="Calibri"/>
          <w:color w:val="000000"/>
          <w:lang w:eastAsia="en-AU"/>
        </w:rPr>
        <w:fldChar w:fldCharType="separate"/>
      </w:r>
      <w:r w:rsidRPr="00061B13">
        <w:rPr>
          <w:rStyle w:val="Hyperlink"/>
          <w:rFonts w:cs="Calibri"/>
          <w:lang w:eastAsia="en-AU"/>
        </w:rPr>
        <w:t>National Mutual Acceptance, Single Ethical Review of Multi-centre Research Projects: HRECS, RGOS AND ORGANISATIONS</w:t>
      </w:r>
    </w:p>
    <w:p w14:paraId="2E938E18" w14:textId="77777777" w:rsidR="00976CCC" w:rsidRPr="00061B13" w:rsidRDefault="00976CCC" w:rsidP="00297C9B">
      <w:pPr>
        <w:pStyle w:val="ListParagraph"/>
        <w:keepLines w:val="0"/>
        <w:numPr>
          <w:ilvl w:val="0"/>
          <w:numId w:val="26"/>
        </w:numPr>
        <w:tabs>
          <w:tab w:val="clear" w:pos="567"/>
        </w:tabs>
        <w:autoSpaceDE w:val="0"/>
        <w:autoSpaceDN w:val="0"/>
        <w:adjustRightInd w:val="0"/>
        <w:spacing w:before="120" w:after="120"/>
        <w:ind w:left="567" w:hanging="567"/>
        <w:contextualSpacing w:val="0"/>
        <w:rPr>
          <w:rStyle w:val="Hyperlink"/>
        </w:rPr>
      </w:pPr>
      <w:r w:rsidRPr="00061B13">
        <w:rPr>
          <w:rStyle w:val="Hyperlink"/>
          <w:rFonts w:cs="Calibri"/>
          <w:lang w:eastAsia="en-AU"/>
        </w:rPr>
        <w:t xml:space="preserve">National Mutual Acceptance of scientific and ethical review for multi-centre human research projects conducted in public health organisations: </w:t>
      </w:r>
      <w:proofErr w:type="gramStart"/>
      <w:r w:rsidRPr="00061B13">
        <w:rPr>
          <w:rStyle w:val="Hyperlink"/>
          <w:rFonts w:cs="Calibri"/>
          <w:lang w:eastAsia="en-AU"/>
        </w:rPr>
        <w:t>Brochure</w:t>
      </w:r>
      <w:proofErr w:type="gramEnd"/>
    </w:p>
    <w:p w14:paraId="6DBF00B0" w14:textId="77777777" w:rsidR="00976CCC" w:rsidRPr="00061B13" w:rsidRDefault="00976CCC" w:rsidP="00297C9B">
      <w:pPr>
        <w:pStyle w:val="ListParagraph"/>
        <w:keepLines w:val="0"/>
        <w:numPr>
          <w:ilvl w:val="0"/>
          <w:numId w:val="26"/>
        </w:numPr>
        <w:tabs>
          <w:tab w:val="clear" w:pos="567"/>
        </w:tabs>
        <w:autoSpaceDE w:val="0"/>
        <w:autoSpaceDN w:val="0"/>
        <w:adjustRightInd w:val="0"/>
        <w:spacing w:before="120" w:after="120"/>
        <w:ind w:left="567" w:hanging="567"/>
        <w:contextualSpacing w:val="0"/>
        <w:rPr>
          <w:rStyle w:val="Hyperlink"/>
        </w:rPr>
      </w:pPr>
      <w:r w:rsidRPr="00061B13">
        <w:rPr>
          <w:rStyle w:val="Hyperlink"/>
          <w:rFonts w:cs="Calibri"/>
          <w:lang w:eastAsia="en-AU"/>
        </w:rPr>
        <w:t>National Mutual Acceptance of ethical and scientific review for multi-centre human research projects conducted in public health organisations: FACT SHEET</w:t>
      </w:r>
    </w:p>
    <w:p w14:paraId="538A5533" w14:textId="77777777" w:rsidR="00976CCC" w:rsidRPr="00407E75" w:rsidRDefault="00976CCC" w:rsidP="00297C9B">
      <w:pPr>
        <w:pStyle w:val="BulletedListLevel1"/>
        <w:numPr>
          <w:ilvl w:val="0"/>
          <w:numId w:val="25"/>
        </w:numPr>
        <w:spacing w:before="120" w:after="120"/>
        <w:ind w:left="567" w:hanging="567"/>
        <w:rPr>
          <w:szCs w:val="22"/>
        </w:rPr>
      </w:pPr>
      <w:r w:rsidRPr="00061B13">
        <w:rPr>
          <w:rStyle w:val="Hyperlink"/>
          <w:szCs w:val="22"/>
          <w:lang w:eastAsia="en-AU"/>
        </w:rPr>
        <w:t>National Mutual Acceptance, Single Ethical Review of Multi-centre Human Research Projects:  STANDARD PRINCIPLES FOR OPERATION</w:t>
      </w:r>
      <w:r>
        <w:rPr>
          <w:rFonts w:cs="Calibri"/>
          <w:color w:val="000000"/>
          <w:szCs w:val="22"/>
          <w:lang w:eastAsia="en-AU"/>
        </w:rPr>
        <w:fldChar w:fldCharType="end"/>
      </w:r>
    </w:p>
    <w:p w14:paraId="7CF369B4" w14:textId="77777777" w:rsidR="00976CCC" w:rsidRPr="003E0C4A" w:rsidRDefault="00000000" w:rsidP="00297C9B">
      <w:pPr>
        <w:pStyle w:val="BulletedListLevel1"/>
        <w:numPr>
          <w:ilvl w:val="0"/>
          <w:numId w:val="25"/>
        </w:numPr>
        <w:spacing w:before="120" w:after="120"/>
        <w:ind w:left="567" w:hanging="567"/>
        <w:rPr>
          <w:szCs w:val="22"/>
        </w:rPr>
      </w:pPr>
      <w:hyperlink r:id="rId23" w:history="1">
        <w:r w:rsidR="00976CCC" w:rsidRPr="00407E75">
          <w:rPr>
            <w:rStyle w:val="Hyperlink"/>
            <w:rFonts w:cs="Calibri"/>
            <w:szCs w:val="22"/>
            <w:lang w:eastAsia="en-AU"/>
          </w:rPr>
          <w:t>Department of Health, Research Governance Policy Framework</w:t>
        </w:r>
      </w:hyperlink>
    </w:p>
    <w:p w14:paraId="212B18FA" w14:textId="77777777" w:rsidR="00976CCC" w:rsidRPr="00407E75" w:rsidRDefault="00000000" w:rsidP="00297C9B">
      <w:pPr>
        <w:pStyle w:val="BulletedListLevel1"/>
        <w:numPr>
          <w:ilvl w:val="0"/>
          <w:numId w:val="25"/>
        </w:numPr>
        <w:spacing w:before="120" w:after="120"/>
        <w:ind w:left="567" w:hanging="567"/>
        <w:rPr>
          <w:szCs w:val="22"/>
        </w:rPr>
      </w:pPr>
      <w:hyperlink r:id="rId24" w:history="1">
        <w:r w:rsidR="00976CCC" w:rsidRPr="003E0C4A">
          <w:rPr>
            <w:rStyle w:val="Hyperlink"/>
            <w:rFonts w:cs="Calibri"/>
            <w:szCs w:val="22"/>
            <w:lang w:eastAsia="en-AU"/>
          </w:rPr>
          <w:t xml:space="preserve">Department of Health, Research Governance Procedures </w:t>
        </w:r>
      </w:hyperlink>
      <w:r w:rsidR="00976CCC">
        <w:rPr>
          <w:rFonts w:cs="Calibri"/>
          <w:color w:val="000000"/>
          <w:szCs w:val="22"/>
          <w:lang w:eastAsia="en-AU"/>
        </w:rPr>
        <w:t xml:space="preserve"> </w:t>
      </w:r>
    </w:p>
    <w:p w14:paraId="0D69E898" w14:textId="77777777" w:rsidR="00976CCC" w:rsidRPr="003E0C4A" w:rsidRDefault="00000000" w:rsidP="00297C9B">
      <w:pPr>
        <w:pStyle w:val="BulletedListLevel1"/>
        <w:numPr>
          <w:ilvl w:val="0"/>
          <w:numId w:val="25"/>
        </w:numPr>
        <w:spacing w:before="120" w:after="120"/>
        <w:ind w:left="567" w:hanging="567"/>
        <w:rPr>
          <w:szCs w:val="22"/>
        </w:rPr>
      </w:pPr>
      <w:hyperlink r:id="rId25" w:history="1">
        <w:r w:rsidR="00976CCC">
          <w:rPr>
            <w:rStyle w:val="Hyperlink"/>
            <w:rFonts w:cs="Calibri"/>
            <w:szCs w:val="22"/>
            <w:lang w:eastAsia="en-AU"/>
          </w:rPr>
          <w:t>Department of Health, R</w:t>
        </w:r>
        <w:r w:rsidR="00976CCC" w:rsidRPr="00407E75">
          <w:rPr>
            <w:rStyle w:val="Hyperlink"/>
            <w:rFonts w:cs="Calibri"/>
            <w:szCs w:val="22"/>
            <w:lang w:eastAsia="en-AU"/>
          </w:rPr>
          <w:t>esearch Governance Fees Policy</w:t>
        </w:r>
      </w:hyperlink>
      <w:r w:rsidR="00976CCC">
        <w:rPr>
          <w:rFonts w:cs="Calibri"/>
          <w:color w:val="000000"/>
          <w:szCs w:val="22"/>
          <w:lang w:eastAsia="en-AU"/>
        </w:rPr>
        <w:t xml:space="preserve"> </w:t>
      </w:r>
    </w:p>
    <w:p w14:paraId="330CC46B" w14:textId="1ED5158F" w:rsidR="00976CCC" w:rsidRPr="00297C9B" w:rsidRDefault="00000000" w:rsidP="00297C9B">
      <w:pPr>
        <w:pStyle w:val="BulletedListLevel1"/>
        <w:numPr>
          <w:ilvl w:val="0"/>
          <w:numId w:val="25"/>
        </w:numPr>
        <w:spacing w:before="120" w:after="120"/>
        <w:ind w:left="567" w:hanging="567"/>
        <w:rPr>
          <w:rStyle w:val="Hyperlink"/>
          <w:color w:val="auto"/>
          <w:szCs w:val="22"/>
          <w:u w:val="none"/>
        </w:rPr>
      </w:pPr>
      <w:hyperlink r:id="rId26" w:history="1">
        <w:r w:rsidR="00976CCC" w:rsidRPr="003E0C4A">
          <w:rPr>
            <w:rStyle w:val="Hyperlink"/>
            <w:rFonts w:cs="Calibri"/>
            <w:szCs w:val="22"/>
            <w:lang w:eastAsia="en-AU"/>
          </w:rPr>
          <w:t>Department of Health, Patient Information and Consent Form Guidelines</w:t>
        </w:r>
      </w:hyperlink>
    </w:p>
    <w:p w14:paraId="6FA8DE25" w14:textId="3BD0CA59" w:rsidR="00297C9B" w:rsidRPr="00297C9B" w:rsidRDefault="00297C9B" w:rsidP="00297C9B">
      <w:pPr>
        <w:pStyle w:val="BulletedListLevel1"/>
        <w:numPr>
          <w:ilvl w:val="0"/>
          <w:numId w:val="25"/>
        </w:numPr>
        <w:spacing w:before="120" w:after="120"/>
        <w:ind w:left="567" w:hanging="567"/>
        <w:rPr>
          <w:rStyle w:val="Hyperlink"/>
          <w:color w:val="auto"/>
          <w:szCs w:val="22"/>
          <w:u w:val="none"/>
        </w:rPr>
      </w:pPr>
      <w:r>
        <w:rPr>
          <w:rStyle w:val="Hyperlink"/>
          <w:rFonts w:cs="Calibri"/>
          <w:szCs w:val="22"/>
          <w:lang w:eastAsia="en-AU"/>
        </w:rPr>
        <w:t xml:space="preserve">Department of Health, Quality Improvement Framework </w:t>
      </w:r>
    </w:p>
    <w:p w14:paraId="53EF9A6A" w14:textId="7DAEA313" w:rsidR="009B781D" w:rsidRDefault="00000000" w:rsidP="00297C9B">
      <w:pPr>
        <w:pStyle w:val="BulletedListLevel1"/>
        <w:numPr>
          <w:ilvl w:val="0"/>
          <w:numId w:val="25"/>
        </w:numPr>
        <w:spacing w:before="120" w:after="120"/>
        <w:ind w:left="567" w:hanging="567"/>
        <w:rPr>
          <w:rStyle w:val="Hyperlink"/>
          <w:rFonts w:cs="Open Sans"/>
          <w:szCs w:val="22"/>
        </w:rPr>
      </w:pPr>
      <w:hyperlink r:id="rId27" w:history="1">
        <w:r w:rsidR="00297C9B" w:rsidRPr="00297C9B">
          <w:rPr>
            <w:rStyle w:val="Hyperlink"/>
            <w:rFonts w:cs="Open Sans"/>
            <w:szCs w:val="22"/>
          </w:rPr>
          <w:t>Healthcare Quality Improvement Partnership, Guide to managing ethical issues in quality improvement or clinical audit projects</w:t>
        </w:r>
      </w:hyperlink>
    </w:p>
    <w:p w14:paraId="2FB3022B" w14:textId="77777777" w:rsidR="009B781D" w:rsidRDefault="009B781D">
      <w:pPr>
        <w:keepLines w:val="0"/>
        <w:tabs>
          <w:tab w:val="clear" w:pos="567"/>
        </w:tabs>
        <w:spacing w:after="0" w:line="240" w:lineRule="auto"/>
        <w:rPr>
          <w:rStyle w:val="Hyperlink"/>
          <w:rFonts w:cs="Open Sans"/>
        </w:rPr>
      </w:pPr>
      <w:r>
        <w:rPr>
          <w:rStyle w:val="Hyperlink"/>
          <w:rFonts w:cs="Open Sans"/>
        </w:rPr>
        <w:br w:type="page"/>
      </w:r>
    </w:p>
    <w:p w14:paraId="7E64D790" w14:textId="5E484D0A" w:rsidR="00297C9B" w:rsidRPr="007354F4" w:rsidRDefault="009B781D" w:rsidP="009B781D">
      <w:pPr>
        <w:pStyle w:val="Heading1"/>
        <w:rPr>
          <w:rStyle w:val="Hyperlink"/>
          <w:rFonts w:cs="Times New Roman"/>
          <w:color w:val="auto"/>
          <w:szCs w:val="22"/>
          <w:u w:val="none"/>
        </w:rPr>
      </w:pPr>
      <w:r>
        <w:rPr>
          <w:rStyle w:val="Hyperlink"/>
          <w:color w:val="auto"/>
          <w:szCs w:val="22"/>
          <w:u w:val="none"/>
        </w:rPr>
        <w:lastRenderedPageBreak/>
        <w:t>Appendix 1</w:t>
      </w:r>
    </w:p>
    <w:tbl>
      <w:tblPr>
        <w:tblStyle w:val="TableGrid"/>
        <w:tblW w:w="9776" w:type="dxa"/>
        <w:shd w:val="clear" w:color="auto" w:fill="DBE5F1" w:themeFill="accent1" w:themeFillTint="33"/>
        <w:tblLook w:val="04A0" w:firstRow="1" w:lastRow="0" w:firstColumn="1" w:lastColumn="0" w:noHBand="0" w:noVBand="1"/>
      </w:tblPr>
      <w:tblGrid>
        <w:gridCol w:w="9776"/>
      </w:tblGrid>
      <w:tr w:rsidR="003509F6" w14:paraId="26CBEE25" w14:textId="77777777" w:rsidTr="00507757">
        <w:tc>
          <w:tcPr>
            <w:tcW w:w="9776" w:type="dxa"/>
            <w:shd w:val="clear" w:color="auto" w:fill="DBE5F1" w:themeFill="accent1" w:themeFillTint="33"/>
          </w:tcPr>
          <w:p w14:paraId="3E916C21" w14:textId="77777777" w:rsidR="003509F6" w:rsidRPr="007C7351" w:rsidRDefault="003509F6" w:rsidP="00507757">
            <w:pPr>
              <w:jc w:val="center"/>
              <w:rPr>
                <w:rFonts w:ascii="Arial Narrow" w:hAnsi="Arial Narrow" w:cs="Arial"/>
                <w:b/>
                <w:bCs/>
                <w:color w:val="404040" w:themeColor="text1" w:themeTint="BF"/>
                <w:sz w:val="32"/>
                <w:szCs w:val="32"/>
              </w:rPr>
            </w:pPr>
            <w:r w:rsidRPr="007C7351">
              <w:rPr>
                <w:rFonts w:ascii="Arial Narrow" w:hAnsi="Arial Narrow" w:cs="Arial"/>
                <w:b/>
                <w:bCs/>
                <w:color w:val="404040" w:themeColor="text1" w:themeTint="BF"/>
                <w:sz w:val="32"/>
                <w:szCs w:val="32"/>
              </w:rPr>
              <w:t>NSW OHMR Guidelines for Low and Negligible Risk (LNR) Research Review Processes or Exemption from Ethics Review</w:t>
            </w:r>
          </w:p>
          <w:p w14:paraId="6BEE0581" w14:textId="77777777" w:rsidR="003509F6" w:rsidRPr="00965C80" w:rsidRDefault="003509F6" w:rsidP="00507757">
            <w:pPr>
              <w:spacing w:before="120" w:after="120"/>
              <w:rPr>
                <w:rFonts w:ascii="Arial Narrow" w:hAnsi="Arial Narrow" w:cs="Arial"/>
              </w:rPr>
            </w:pPr>
            <w:r w:rsidRPr="00965C80">
              <w:rPr>
                <w:rFonts w:ascii="Arial Narrow" w:hAnsi="Arial Narrow" w:cs="Arial"/>
              </w:rPr>
              <w:t xml:space="preserve">This Guideline represents NSW Health’s Office for Health and Medical Research’s (OHMR’s) interpretation of the </w:t>
            </w:r>
            <w:r w:rsidRPr="00965C80">
              <w:rPr>
                <w:rFonts w:ascii="Arial Narrow" w:hAnsi="Arial Narrow" w:cs="Arial"/>
                <w:i/>
              </w:rPr>
              <w:t xml:space="preserve">National </w:t>
            </w:r>
            <w:r w:rsidRPr="00965C80">
              <w:rPr>
                <w:rStyle w:val="googqs-tidbitgoogqs-tidbit-0"/>
                <w:rFonts w:ascii="Arial Narrow" w:hAnsi="Arial Narrow" w:cs="Arial"/>
                <w:i/>
                <w:color w:val="000000"/>
              </w:rPr>
              <w:t>Statement on Ethical Conduct in Human Research</w:t>
            </w:r>
            <w:r w:rsidRPr="00965C80">
              <w:rPr>
                <w:rStyle w:val="googqs-tidbitgoogqs-tidbit-0"/>
                <w:rFonts w:ascii="Arial Narrow" w:hAnsi="Arial Narrow" w:cs="Arial"/>
                <w:color w:val="000000"/>
              </w:rPr>
              <w:t xml:space="preserve"> (the “National Statement”) as it applies to low and negligible risk research. It is</w:t>
            </w:r>
            <w:r w:rsidRPr="00965C80">
              <w:rPr>
                <w:rFonts w:ascii="Arial Narrow" w:hAnsi="Arial Narrow" w:cs="Arial"/>
              </w:rPr>
              <w:t xml:space="preserve"> intended to provide greater consistency amongst HRECs and others in interpreting and clarifying some of the concepts contained in the </w:t>
            </w:r>
            <w:r w:rsidRPr="00965C80">
              <w:rPr>
                <w:rStyle w:val="googqs-tidbitgoogqs-tidbit-0"/>
                <w:rFonts w:ascii="Arial Narrow" w:hAnsi="Arial Narrow" w:cs="Arial"/>
                <w:color w:val="000000"/>
              </w:rPr>
              <w:t>National Statement</w:t>
            </w:r>
            <w:r w:rsidRPr="00965C80">
              <w:rPr>
                <w:rFonts w:ascii="Arial Narrow" w:hAnsi="Arial Narrow" w:cs="Arial"/>
              </w:rPr>
              <w:t>. It should not be used as a substitute for reading and applying those concepts as directly expressed in the National Statement and other related documents.</w:t>
            </w:r>
          </w:p>
          <w:p w14:paraId="255605B3" w14:textId="77777777" w:rsidR="003509F6" w:rsidRPr="00965C80" w:rsidRDefault="003509F6" w:rsidP="00507757">
            <w:pPr>
              <w:keepLines w:val="0"/>
              <w:numPr>
                <w:ilvl w:val="0"/>
                <w:numId w:val="11"/>
              </w:numPr>
              <w:tabs>
                <w:tab w:val="clear" w:pos="567"/>
              </w:tabs>
              <w:spacing w:before="120" w:after="120"/>
              <w:rPr>
                <w:rStyle w:val="googqs-tidbitgoogqs-tidbit-0"/>
                <w:rFonts w:ascii="Arial Narrow" w:hAnsi="Arial Narrow" w:cs="Arial"/>
                <w:b/>
                <w:color w:val="0070C0"/>
              </w:rPr>
            </w:pPr>
            <w:r w:rsidRPr="00965C80">
              <w:rPr>
                <w:rStyle w:val="googqs-tidbitgoogqs-tidbit-0"/>
                <w:rFonts w:ascii="Arial Narrow" w:hAnsi="Arial Narrow" w:cs="Arial"/>
                <w:b/>
                <w:color w:val="0070C0"/>
              </w:rPr>
              <w:t>Determination of level of risk and appropriate level of review per the National Statement</w:t>
            </w:r>
          </w:p>
          <w:p w14:paraId="702563CA" w14:textId="77777777" w:rsidR="003509F6" w:rsidRPr="00965C80" w:rsidRDefault="003509F6" w:rsidP="00507757">
            <w:pPr>
              <w:pStyle w:val="NoSpacing"/>
              <w:spacing w:before="120" w:after="120" w:line="300" w:lineRule="atLeast"/>
              <w:rPr>
                <w:rFonts w:ascii="Arial Narrow" w:hAnsi="Arial Narrow" w:cs="Arial"/>
              </w:rPr>
            </w:pPr>
            <w:r w:rsidRPr="00965C80">
              <w:rPr>
                <w:rStyle w:val="googqs-tidbitgoogqs-tidbit-0"/>
                <w:rFonts w:ascii="Arial Narrow" w:hAnsi="Arial Narrow" w:cs="Arial"/>
                <w:color w:val="000000"/>
              </w:rPr>
              <w:t xml:space="preserve">The National Statement defines risk as </w:t>
            </w:r>
            <w:r w:rsidRPr="00965C80">
              <w:rPr>
                <w:rStyle w:val="googqs-tidbitgoogqs-tidbit-0"/>
                <w:rFonts w:ascii="Arial Narrow" w:hAnsi="Arial Narrow" w:cs="Arial"/>
                <w:i/>
              </w:rPr>
              <w:t>“the</w:t>
            </w:r>
            <w:r w:rsidRPr="00965C80">
              <w:rPr>
                <w:rFonts w:ascii="Arial Narrow" w:hAnsi="Arial Narrow" w:cs="Arial"/>
                <w:i/>
              </w:rPr>
              <w:t xml:space="preserve"> function of the magnitude of a harm and the probability that it will occur”. </w:t>
            </w:r>
            <w:r w:rsidRPr="00965C80">
              <w:rPr>
                <w:rFonts w:ascii="Arial Narrow" w:hAnsi="Arial Narrow" w:cs="Arial"/>
              </w:rPr>
              <w:t xml:space="preserve">The types of harm that may be encountered when research is conducted are described below.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0"/>
              <w:gridCol w:w="6378"/>
            </w:tblGrid>
            <w:tr w:rsidR="003509F6" w:rsidRPr="00965C80" w14:paraId="7B80DA1D" w14:textId="77777777" w:rsidTr="00507757">
              <w:trPr>
                <w:jc w:val="center"/>
              </w:trPr>
              <w:tc>
                <w:tcPr>
                  <w:tcW w:w="3030" w:type="dxa"/>
                  <w:shd w:val="clear" w:color="auto" w:fill="auto"/>
                </w:tcPr>
                <w:p w14:paraId="65722C53" w14:textId="77777777" w:rsidR="003509F6" w:rsidRPr="00965C80" w:rsidRDefault="003509F6" w:rsidP="003E7437">
                  <w:pPr>
                    <w:pStyle w:val="NoSpacing"/>
                    <w:spacing w:before="120" w:after="120" w:line="300" w:lineRule="atLeast"/>
                    <w:rPr>
                      <w:rFonts w:ascii="Arial Narrow" w:hAnsi="Arial Narrow" w:cs="Arial"/>
                      <w:b/>
                    </w:rPr>
                  </w:pPr>
                  <w:r w:rsidRPr="00965C80">
                    <w:rPr>
                      <w:rFonts w:ascii="Arial Narrow" w:hAnsi="Arial Narrow" w:cs="Arial"/>
                      <w:b/>
                    </w:rPr>
                    <w:t>Types of harm</w:t>
                  </w:r>
                </w:p>
              </w:tc>
              <w:tc>
                <w:tcPr>
                  <w:tcW w:w="6378" w:type="dxa"/>
                  <w:shd w:val="clear" w:color="auto" w:fill="auto"/>
                </w:tcPr>
                <w:p w14:paraId="681B5460" w14:textId="77777777" w:rsidR="003509F6" w:rsidRPr="00965C80" w:rsidRDefault="003509F6" w:rsidP="003E7437">
                  <w:pPr>
                    <w:pStyle w:val="NoSpacing"/>
                    <w:spacing w:before="120" w:after="120" w:line="300" w:lineRule="atLeast"/>
                    <w:rPr>
                      <w:rFonts w:ascii="Arial Narrow" w:hAnsi="Arial Narrow" w:cs="Arial"/>
                      <w:b/>
                    </w:rPr>
                  </w:pPr>
                  <w:r w:rsidRPr="00965C80">
                    <w:rPr>
                      <w:rFonts w:ascii="Arial Narrow" w:hAnsi="Arial Narrow" w:cs="Arial"/>
                      <w:b/>
                    </w:rPr>
                    <w:t>Possible examples</w:t>
                  </w:r>
                </w:p>
              </w:tc>
            </w:tr>
            <w:tr w:rsidR="003509F6" w:rsidRPr="00965C80" w14:paraId="1F260BC9" w14:textId="77777777" w:rsidTr="00507757">
              <w:trPr>
                <w:jc w:val="center"/>
              </w:trPr>
              <w:tc>
                <w:tcPr>
                  <w:tcW w:w="3030" w:type="dxa"/>
                  <w:shd w:val="clear" w:color="auto" w:fill="auto"/>
                </w:tcPr>
                <w:p w14:paraId="193C7250" w14:textId="77777777" w:rsidR="003509F6" w:rsidRPr="00965C80" w:rsidRDefault="003509F6" w:rsidP="00507757">
                  <w:pPr>
                    <w:pStyle w:val="NoSpacing"/>
                    <w:spacing w:before="120" w:after="120" w:line="300" w:lineRule="atLeast"/>
                    <w:rPr>
                      <w:rFonts w:ascii="Arial Narrow" w:hAnsi="Arial Narrow" w:cs="Arial"/>
                    </w:rPr>
                  </w:pPr>
                  <w:r w:rsidRPr="00965C80">
                    <w:rPr>
                      <w:rFonts w:ascii="Arial Narrow" w:hAnsi="Arial Narrow" w:cs="Arial"/>
                    </w:rPr>
                    <w:t>Physical harm</w:t>
                  </w:r>
                </w:p>
              </w:tc>
              <w:tc>
                <w:tcPr>
                  <w:tcW w:w="6378" w:type="dxa"/>
                  <w:shd w:val="clear" w:color="auto" w:fill="auto"/>
                </w:tcPr>
                <w:p w14:paraId="3EFA3091" w14:textId="77777777" w:rsidR="003509F6" w:rsidRPr="00965C80" w:rsidRDefault="003509F6" w:rsidP="00507757">
                  <w:pPr>
                    <w:pStyle w:val="NoSpacing"/>
                    <w:spacing w:before="120" w:after="120" w:line="300" w:lineRule="atLeast"/>
                    <w:rPr>
                      <w:rFonts w:ascii="Arial Narrow" w:hAnsi="Arial Narrow" w:cs="Arial"/>
                    </w:rPr>
                  </w:pPr>
                  <w:r w:rsidRPr="00965C80">
                    <w:rPr>
                      <w:rFonts w:ascii="Arial Narrow" w:hAnsi="Arial Narrow" w:cs="Arial"/>
                    </w:rPr>
                    <w:t>Including injury, illness, pain</w:t>
                  </w:r>
                </w:p>
              </w:tc>
            </w:tr>
            <w:tr w:rsidR="003509F6" w:rsidRPr="00965C80" w14:paraId="4E28D5D9" w14:textId="77777777" w:rsidTr="00507757">
              <w:trPr>
                <w:trHeight w:val="822"/>
                <w:jc w:val="center"/>
              </w:trPr>
              <w:tc>
                <w:tcPr>
                  <w:tcW w:w="3030" w:type="dxa"/>
                  <w:shd w:val="clear" w:color="auto" w:fill="auto"/>
                </w:tcPr>
                <w:p w14:paraId="119EE115" w14:textId="77777777" w:rsidR="003509F6" w:rsidRPr="00965C80" w:rsidRDefault="003509F6" w:rsidP="00507757">
                  <w:pPr>
                    <w:pStyle w:val="NoSpacing"/>
                    <w:spacing w:before="120" w:after="120" w:line="300" w:lineRule="atLeast"/>
                    <w:rPr>
                      <w:rFonts w:ascii="Arial Narrow" w:hAnsi="Arial Narrow" w:cs="Arial"/>
                    </w:rPr>
                  </w:pPr>
                  <w:r w:rsidRPr="00965C80">
                    <w:rPr>
                      <w:rFonts w:ascii="Arial Narrow" w:hAnsi="Arial Narrow" w:cs="Arial"/>
                    </w:rPr>
                    <w:t>Psychological harm</w:t>
                  </w:r>
                </w:p>
              </w:tc>
              <w:tc>
                <w:tcPr>
                  <w:tcW w:w="6378" w:type="dxa"/>
                  <w:shd w:val="clear" w:color="auto" w:fill="auto"/>
                </w:tcPr>
                <w:p w14:paraId="172DABE9" w14:textId="77777777" w:rsidR="003509F6" w:rsidRPr="00965C80" w:rsidRDefault="003509F6" w:rsidP="00507757">
                  <w:pPr>
                    <w:pStyle w:val="NoSpacing"/>
                    <w:spacing w:before="120" w:after="120" w:line="300" w:lineRule="atLeast"/>
                    <w:rPr>
                      <w:rFonts w:ascii="Arial Narrow" w:hAnsi="Arial Narrow" w:cs="Arial"/>
                    </w:rPr>
                  </w:pPr>
                  <w:r w:rsidRPr="00965C80">
                    <w:rPr>
                      <w:rFonts w:ascii="Arial Narrow" w:hAnsi="Arial Narrow" w:cs="Arial"/>
                    </w:rPr>
                    <w:t xml:space="preserve">Including feelings of worthlessness, distress, guilt, </w:t>
                  </w:r>
                  <w:proofErr w:type="gramStart"/>
                  <w:r w:rsidRPr="00965C80">
                    <w:rPr>
                      <w:rFonts w:ascii="Arial Narrow" w:hAnsi="Arial Narrow" w:cs="Arial"/>
                    </w:rPr>
                    <w:t>anger</w:t>
                  </w:r>
                  <w:proofErr w:type="gramEnd"/>
                  <w:r w:rsidRPr="00965C80">
                    <w:rPr>
                      <w:rFonts w:ascii="Arial Narrow" w:hAnsi="Arial Narrow" w:cs="Arial"/>
                    </w:rPr>
                    <w:t xml:space="preserve"> or fear related, for example, to disclosure of sensitive or embarrassing information, or learning about a genetic possibility of developing an untreatable disease</w:t>
                  </w:r>
                </w:p>
              </w:tc>
            </w:tr>
            <w:tr w:rsidR="003509F6" w:rsidRPr="00965C80" w14:paraId="45A5881E" w14:textId="77777777" w:rsidTr="00507757">
              <w:trPr>
                <w:trHeight w:val="564"/>
                <w:jc w:val="center"/>
              </w:trPr>
              <w:tc>
                <w:tcPr>
                  <w:tcW w:w="3030" w:type="dxa"/>
                  <w:shd w:val="clear" w:color="auto" w:fill="auto"/>
                </w:tcPr>
                <w:p w14:paraId="0FA0B542" w14:textId="77777777" w:rsidR="003509F6" w:rsidRPr="00965C80" w:rsidRDefault="003509F6" w:rsidP="00507757">
                  <w:pPr>
                    <w:pStyle w:val="NoSpacing"/>
                    <w:spacing w:before="120" w:after="120" w:line="300" w:lineRule="atLeast"/>
                    <w:rPr>
                      <w:rFonts w:ascii="Arial Narrow" w:hAnsi="Arial Narrow" w:cs="Arial"/>
                    </w:rPr>
                  </w:pPr>
                  <w:r w:rsidRPr="00965C80">
                    <w:rPr>
                      <w:rFonts w:ascii="Arial Narrow" w:hAnsi="Arial Narrow" w:cs="Arial"/>
                    </w:rPr>
                    <w:t>Devaluation of personal worth</w:t>
                  </w:r>
                </w:p>
              </w:tc>
              <w:tc>
                <w:tcPr>
                  <w:tcW w:w="6378" w:type="dxa"/>
                  <w:shd w:val="clear" w:color="auto" w:fill="auto"/>
                </w:tcPr>
                <w:p w14:paraId="23566D22" w14:textId="77777777" w:rsidR="003509F6" w:rsidRPr="00965C80" w:rsidRDefault="003509F6" w:rsidP="00507757">
                  <w:pPr>
                    <w:pStyle w:val="NoSpacing"/>
                    <w:spacing w:before="120" w:after="120" w:line="300" w:lineRule="atLeast"/>
                    <w:rPr>
                      <w:rFonts w:ascii="Arial Narrow" w:hAnsi="Arial Narrow" w:cs="Arial"/>
                    </w:rPr>
                  </w:pPr>
                  <w:r w:rsidRPr="00965C80">
                    <w:rPr>
                      <w:rFonts w:ascii="Arial Narrow" w:hAnsi="Arial Narrow" w:cs="Arial"/>
                    </w:rPr>
                    <w:t>Including being humiliated, manipulated or in other ways treated disrespectfully or unjustly</w:t>
                  </w:r>
                </w:p>
              </w:tc>
            </w:tr>
            <w:tr w:rsidR="003509F6" w:rsidRPr="00965C80" w14:paraId="0551633F" w14:textId="77777777" w:rsidTr="00507757">
              <w:trPr>
                <w:jc w:val="center"/>
              </w:trPr>
              <w:tc>
                <w:tcPr>
                  <w:tcW w:w="3030" w:type="dxa"/>
                  <w:shd w:val="clear" w:color="auto" w:fill="auto"/>
                </w:tcPr>
                <w:p w14:paraId="7A63CDC6" w14:textId="77777777" w:rsidR="003509F6" w:rsidRPr="00965C80" w:rsidRDefault="003509F6" w:rsidP="00507757">
                  <w:pPr>
                    <w:pStyle w:val="NoSpacing"/>
                    <w:spacing w:before="120" w:after="120" w:line="300" w:lineRule="atLeast"/>
                    <w:rPr>
                      <w:rFonts w:ascii="Arial Narrow" w:hAnsi="Arial Narrow" w:cs="Arial"/>
                    </w:rPr>
                  </w:pPr>
                  <w:r w:rsidRPr="00965C80">
                    <w:rPr>
                      <w:rFonts w:ascii="Arial Narrow" w:hAnsi="Arial Narrow" w:cs="Arial"/>
                    </w:rPr>
                    <w:t>Social harms</w:t>
                  </w:r>
                </w:p>
              </w:tc>
              <w:tc>
                <w:tcPr>
                  <w:tcW w:w="6378" w:type="dxa"/>
                  <w:shd w:val="clear" w:color="auto" w:fill="auto"/>
                </w:tcPr>
                <w:p w14:paraId="61DA0DD4" w14:textId="77777777" w:rsidR="003509F6" w:rsidRPr="00965C80" w:rsidRDefault="003509F6" w:rsidP="00507757">
                  <w:pPr>
                    <w:pStyle w:val="NoSpacing"/>
                    <w:spacing w:before="120" w:after="120" w:line="300" w:lineRule="atLeast"/>
                    <w:rPr>
                      <w:rFonts w:ascii="Arial Narrow" w:hAnsi="Arial Narrow" w:cs="Arial"/>
                    </w:rPr>
                  </w:pPr>
                  <w:r w:rsidRPr="00965C80">
                    <w:rPr>
                      <w:rFonts w:ascii="Arial Narrow" w:hAnsi="Arial Narrow" w:cs="Arial"/>
                    </w:rPr>
                    <w:t xml:space="preserve">Including damage to social networks or relationships with others; discrimination in access to benefits, services, </w:t>
                  </w:r>
                  <w:proofErr w:type="gramStart"/>
                  <w:r w:rsidRPr="00965C80">
                    <w:rPr>
                      <w:rFonts w:ascii="Arial Narrow" w:hAnsi="Arial Narrow" w:cs="Arial"/>
                    </w:rPr>
                    <w:t>employment</w:t>
                  </w:r>
                  <w:proofErr w:type="gramEnd"/>
                  <w:r w:rsidRPr="00965C80">
                    <w:rPr>
                      <w:rFonts w:ascii="Arial Narrow" w:hAnsi="Arial Narrow" w:cs="Arial"/>
                    </w:rPr>
                    <w:t xml:space="preserve"> or insurance; social stigmatisation, findings of previously unknown paternity status, reputational harm to a participant, researcher, institution or community</w:t>
                  </w:r>
                </w:p>
              </w:tc>
            </w:tr>
            <w:tr w:rsidR="003509F6" w:rsidRPr="00965C80" w14:paraId="2037A9B3" w14:textId="77777777" w:rsidTr="00507757">
              <w:trPr>
                <w:jc w:val="center"/>
              </w:trPr>
              <w:tc>
                <w:tcPr>
                  <w:tcW w:w="3030" w:type="dxa"/>
                  <w:shd w:val="clear" w:color="auto" w:fill="auto"/>
                </w:tcPr>
                <w:p w14:paraId="1E592A93" w14:textId="77777777" w:rsidR="003509F6" w:rsidRPr="00965C80" w:rsidRDefault="003509F6" w:rsidP="00507757">
                  <w:pPr>
                    <w:pStyle w:val="NoSpacing"/>
                    <w:spacing w:before="120" w:after="120" w:line="300" w:lineRule="atLeast"/>
                    <w:rPr>
                      <w:rFonts w:ascii="Arial Narrow" w:hAnsi="Arial Narrow" w:cs="Arial"/>
                    </w:rPr>
                  </w:pPr>
                  <w:r w:rsidRPr="00965C80">
                    <w:rPr>
                      <w:rFonts w:ascii="Arial Narrow" w:hAnsi="Arial Narrow" w:cs="Arial"/>
                    </w:rPr>
                    <w:t>Economic harms</w:t>
                  </w:r>
                </w:p>
              </w:tc>
              <w:tc>
                <w:tcPr>
                  <w:tcW w:w="6378" w:type="dxa"/>
                  <w:shd w:val="clear" w:color="auto" w:fill="auto"/>
                </w:tcPr>
                <w:p w14:paraId="5DC31634" w14:textId="77777777" w:rsidR="003509F6" w:rsidRPr="00965C80" w:rsidRDefault="003509F6" w:rsidP="00507757">
                  <w:pPr>
                    <w:pStyle w:val="NoSpacing"/>
                    <w:spacing w:before="120" w:after="120" w:line="300" w:lineRule="atLeast"/>
                    <w:rPr>
                      <w:rFonts w:ascii="Arial Narrow" w:hAnsi="Arial Narrow" w:cs="Arial"/>
                    </w:rPr>
                  </w:pPr>
                  <w:r w:rsidRPr="00965C80">
                    <w:rPr>
                      <w:rFonts w:ascii="Arial Narrow" w:hAnsi="Arial Narrow" w:cs="Arial"/>
                    </w:rPr>
                    <w:t>Including the imposition of direct or indirect costs on participants</w:t>
                  </w:r>
                </w:p>
              </w:tc>
            </w:tr>
            <w:tr w:rsidR="003509F6" w:rsidRPr="00965C80" w14:paraId="053FA41D" w14:textId="77777777" w:rsidTr="00507757">
              <w:trPr>
                <w:jc w:val="center"/>
              </w:trPr>
              <w:tc>
                <w:tcPr>
                  <w:tcW w:w="3030" w:type="dxa"/>
                  <w:shd w:val="clear" w:color="auto" w:fill="auto"/>
                </w:tcPr>
                <w:p w14:paraId="12760595" w14:textId="77777777" w:rsidR="003509F6" w:rsidRPr="00965C80" w:rsidRDefault="003509F6" w:rsidP="00507757">
                  <w:pPr>
                    <w:pStyle w:val="NoSpacing"/>
                    <w:spacing w:before="120" w:after="120" w:line="300" w:lineRule="atLeast"/>
                    <w:rPr>
                      <w:rFonts w:ascii="Arial Narrow" w:hAnsi="Arial Narrow" w:cs="Arial"/>
                    </w:rPr>
                  </w:pPr>
                  <w:r w:rsidRPr="00965C80">
                    <w:rPr>
                      <w:rFonts w:ascii="Arial Narrow" w:hAnsi="Arial Narrow" w:cs="Arial"/>
                    </w:rPr>
                    <w:t>Legal harms</w:t>
                  </w:r>
                </w:p>
              </w:tc>
              <w:tc>
                <w:tcPr>
                  <w:tcW w:w="6378" w:type="dxa"/>
                  <w:shd w:val="clear" w:color="auto" w:fill="auto"/>
                </w:tcPr>
                <w:p w14:paraId="54C0D887" w14:textId="77777777" w:rsidR="003509F6" w:rsidRPr="00965C80" w:rsidRDefault="003509F6" w:rsidP="00507757">
                  <w:pPr>
                    <w:pStyle w:val="NoSpacing"/>
                    <w:spacing w:before="120" w:after="120" w:line="300" w:lineRule="atLeast"/>
                    <w:rPr>
                      <w:rFonts w:ascii="Arial Narrow" w:hAnsi="Arial Narrow" w:cs="Arial"/>
                    </w:rPr>
                  </w:pPr>
                  <w:r w:rsidRPr="00965C80">
                    <w:rPr>
                      <w:rFonts w:ascii="Arial Narrow" w:hAnsi="Arial Narrow" w:cs="Arial"/>
                    </w:rPr>
                    <w:t>Including discovery and prosecution of criminal conduct</w:t>
                  </w:r>
                </w:p>
              </w:tc>
            </w:tr>
          </w:tbl>
          <w:p w14:paraId="7587A3AE" w14:textId="77777777" w:rsidR="003509F6" w:rsidRDefault="003509F6" w:rsidP="00507757">
            <w:pPr>
              <w:pStyle w:val="NoSpacing"/>
              <w:tabs>
                <w:tab w:val="clear" w:pos="425"/>
              </w:tabs>
              <w:spacing w:after="120" w:line="300" w:lineRule="atLeast"/>
              <w:ind w:left="720" w:hanging="550"/>
              <w:jc w:val="both"/>
              <w:rPr>
                <w:rFonts w:ascii="Arial Narrow" w:hAnsi="Arial Narrow" w:cs="Arial"/>
                <w:sz w:val="16"/>
                <w:szCs w:val="16"/>
              </w:rPr>
            </w:pPr>
            <w:r w:rsidRPr="00965C80">
              <w:rPr>
                <w:rFonts w:ascii="Arial Narrow" w:hAnsi="Arial Narrow" w:cs="Arial"/>
                <w:sz w:val="16"/>
                <w:szCs w:val="16"/>
              </w:rPr>
              <w:t>Adapted from National Statement, 2007 (updated 2018)</w:t>
            </w:r>
          </w:p>
          <w:p w14:paraId="6F9F3E6C" w14:textId="77777777" w:rsidR="003509F6" w:rsidRPr="00965C80" w:rsidRDefault="003509F6" w:rsidP="00507757">
            <w:pPr>
              <w:pStyle w:val="NoSpacing"/>
              <w:spacing w:before="120" w:after="120" w:line="300" w:lineRule="atLeast"/>
              <w:rPr>
                <w:rFonts w:ascii="Arial Narrow" w:hAnsi="Arial Narrow" w:cs="Arial"/>
              </w:rPr>
            </w:pPr>
            <w:r w:rsidRPr="00965C80">
              <w:rPr>
                <w:rFonts w:ascii="Arial Narrow" w:hAnsi="Arial Narrow" w:cs="Arial"/>
              </w:rPr>
              <w:t>The National Statement permits institutions to establish levels of ethics review that are proportionate to the degree of risk involved, and provides the following definitions:</w:t>
            </w:r>
          </w:p>
          <w:p w14:paraId="4B2AAAF2" w14:textId="77777777" w:rsidR="003509F6" w:rsidRPr="00965C80" w:rsidRDefault="003509F6" w:rsidP="00507757">
            <w:pPr>
              <w:pStyle w:val="NoSpacing"/>
              <w:numPr>
                <w:ilvl w:val="0"/>
                <w:numId w:val="13"/>
              </w:numPr>
              <w:spacing w:before="120" w:after="120" w:line="300" w:lineRule="atLeast"/>
              <w:rPr>
                <w:rFonts w:ascii="Arial Narrow" w:hAnsi="Arial Narrow" w:cs="Arial"/>
              </w:rPr>
            </w:pPr>
            <w:r w:rsidRPr="00965C80">
              <w:rPr>
                <w:rFonts w:ascii="Arial Narrow" w:hAnsi="Arial Narrow" w:cs="Arial"/>
                <w:b/>
                <w:u w:val="single"/>
              </w:rPr>
              <w:t>Negligible risk research</w:t>
            </w:r>
            <w:r w:rsidRPr="00965C80">
              <w:rPr>
                <w:rFonts w:ascii="Arial Narrow" w:hAnsi="Arial Narrow" w:cs="Arial"/>
                <w:b/>
              </w:rPr>
              <w:t xml:space="preserve">: </w:t>
            </w:r>
            <w:r w:rsidRPr="00965C80">
              <w:rPr>
                <w:rFonts w:ascii="Arial Narrow" w:hAnsi="Arial Narrow" w:cs="Arial"/>
              </w:rPr>
              <w:t xml:space="preserve">Where there is no foreseeable risk of harm or discomfort; and any foreseeable risk is no more than an inconvenience to participants.  Examples of inconvenience in human research may include filling in a form, participating in a de-identified survey or giving up time to participate in a research activity. </w:t>
            </w:r>
          </w:p>
          <w:p w14:paraId="3EECED8A" w14:textId="77777777" w:rsidR="003509F6" w:rsidRPr="00965C80" w:rsidRDefault="003509F6" w:rsidP="00507757">
            <w:pPr>
              <w:pStyle w:val="NoSpacing"/>
              <w:numPr>
                <w:ilvl w:val="0"/>
                <w:numId w:val="13"/>
              </w:numPr>
              <w:spacing w:before="120" w:after="120" w:line="300" w:lineRule="atLeast"/>
              <w:rPr>
                <w:rFonts w:ascii="Arial Narrow" w:hAnsi="Arial Narrow" w:cs="Arial"/>
              </w:rPr>
            </w:pPr>
            <w:r w:rsidRPr="00965C80">
              <w:rPr>
                <w:rFonts w:ascii="Arial Narrow" w:hAnsi="Arial Narrow" w:cs="Arial"/>
                <w:b/>
                <w:u w:val="single"/>
              </w:rPr>
              <w:t>Low risk research:</w:t>
            </w:r>
            <w:r w:rsidRPr="00965C80">
              <w:rPr>
                <w:rFonts w:ascii="Arial Narrow" w:hAnsi="Arial Narrow" w:cs="Arial"/>
              </w:rPr>
              <w:t xml:space="preserve"> Where the only foreseeable risk is one of discomfort.  Discomforts include, for example, minor side-effects of medication, discomforts related to measuring blood pressure and anxiety induced by an interview. </w:t>
            </w:r>
          </w:p>
          <w:p w14:paraId="2261A8FE" w14:textId="77777777" w:rsidR="003509F6" w:rsidRPr="00965C80" w:rsidRDefault="003509F6" w:rsidP="00507757">
            <w:pPr>
              <w:pStyle w:val="NoSpacing"/>
              <w:numPr>
                <w:ilvl w:val="0"/>
                <w:numId w:val="13"/>
              </w:numPr>
              <w:spacing w:before="120" w:after="120" w:line="300" w:lineRule="atLeast"/>
              <w:rPr>
                <w:rFonts w:ascii="Arial Narrow" w:hAnsi="Arial Narrow" w:cs="Arial"/>
              </w:rPr>
            </w:pPr>
            <w:r w:rsidRPr="00965C80">
              <w:rPr>
                <w:rFonts w:ascii="Arial Narrow" w:hAnsi="Arial Narrow" w:cs="Arial"/>
                <w:b/>
                <w:u w:val="single"/>
              </w:rPr>
              <w:lastRenderedPageBreak/>
              <w:t>More than low risk research:</w:t>
            </w:r>
            <w:r w:rsidRPr="00965C80">
              <w:rPr>
                <w:rFonts w:ascii="Arial Narrow" w:hAnsi="Arial Narrow" w:cs="Arial"/>
                <w:b/>
              </w:rPr>
              <w:t xml:space="preserve"> </w:t>
            </w:r>
            <w:r w:rsidRPr="00965C80">
              <w:rPr>
                <w:rFonts w:ascii="Arial Narrow" w:hAnsi="Arial Narrow" w:cs="Arial"/>
              </w:rPr>
              <w:t xml:space="preserve">Where the risk, even if unlikely, is more serious than discomfort, the research is not low risk. </w:t>
            </w:r>
          </w:p>
          <w:p w14:paraId="179CD44B" w14:textId="77777777" w:rsidR="003509F6" w:rsidRPr="00965C80" w:rsidRDefault="003509F6" w:rsidP="00507757">
            <w:pPr>
              <w:pStyle w:val="NoSpacing"/>
              <w:spacing w:before="120" w:after="120" w:line="300" w:lineRule="atLeast"/>
              <w:rPr>
                <w:rStyle w:val="googqs-tidbitgoogqs-tidbit-0"/>
                <w:rFonts w:ascii="Arial Narrow" w:hAnsi="Arial Narrow" w:cs="Arial"/>
                <w:color w:val="000000"/>
              </w:rPr>
            </w:pPr>
            <w:r w:rsidRPr="00965C80">
              <w:rPr>
                <w:rStyle w:val="googqs-tidbitgoogqs-tidbit-0"/>
                <w:rFonts w:ascii="Arial Narrow" w:hAnsi="Arial Narrow" w:cs="Arial"/>
              </w:rPr>
              <w:t xml:space="preserve">Researchers, </w:t>
            </w:r>
            <w:r w:rsidRPr="00965C80">
              <w:rPr>
                <w:rFonts w:ascii="Arial Narrow" w:hAnsi="Arial Narrow" w:cs="Arial"/>
              </w:rPr>
              <w:t>Human Research Ethics Committees (</w:t>
            </w:r>
            <w:r w:rsidRPr="00965C80">
              <w:rPr>
                <w:rStyle w:val="googqs-tidbitgoogqs-tidbit-0"/>
                <w:rFonts w:ascii="Arial Narrow" w:hAnsi="Arial Narrow" w:cs="Arial"/>
              </w:rPr>
              <w:t xml:space="preserve">HRECs) and </w:t>
            </w:r>
            <w:r w:rsidRPr="00965C80">
              <w:rPr>
                <w:rStyle w:val="googqs-tidbitgoogqs-tidbit-0"/>
                <w:rFonts w:ascii="Arial Narrow" w:hAnsi="Arial Narrow" w:cs="Arial"/>
                <w:color w:val="000000"/>
              </w:rPr>
              <w:t xml:space="preserve">other ethics review bodies are required to determine the existence, likelihood and severity of risk based on </w:t>
            </w:r>
            <w:proofErr w:type="gramStart"/>
            <w:r w:rsidRPr="00965C80">
              <w:rPr>
                <w:rStyle w:val="googqs-tidbitgoogqs-tidbit-0"/>
                <w:rFonts w:ascii="Arial Narrow" w:hAnsi="Arial Narrow" w:cs="Arial"/>
                <w:color w:val="000000"/>
              </w:rPr>
              <w:t>a number of</w:t>
            </w:r>
            <w:proofErr w:type="gramEnd"/>
            <w:r w:rsidRPr="00965C80">
              <w:rPr>
                <w:rStyle w:val="googqs-tidbitgoogqs-tidbit-0"/>
                <w:rFonts w:ascii="Arial Narrow" w:hAnsi="Arial Narrow" w:cs="Arial"/>
                <w:color w:val="000000"/>
              </w:rPr>
              <w:t xml:space="preserve"> factors including the study’s methodology and design, participant characteristics and the research activity. In some cases, the requirement for full HREC review may be mandated by Australian law (e.g., Commonwealth or state privacy </w:t>
            </w:r>
            <w:r w:rsidRPr="00965C80">
              <w:rPr>
                <w:rStyle w:val="googqs-tidbitgoogqs-tidbit-0"/>
                <w:rFonts w:ascii="Arial Narrow" w:hAnsi="Arial Narrow" w:cs="Arial"/>
              </w:rPr>
              <w:t xml:space="preserve">legislation, the Therapeutic Goods Regulations </w:t>
            </w:r>
            <w:proofErr w:type="gramStart"/>
            <w:r w:rsidRPr="00965C80">
              <w:rPr>
                <w:rStyle w:val="googqs-tidbitgoogqs-tidbit-0"/>
                <w:rFonts w:ascii="Arial Narrow" w:hAnsi="Arial Narrow" w:cs="Arial"/>
              </w:rPr>
              <w:t>1990</w:t>
            </w:r>
            <w:proofErr w:type="gramEnd"/>
            <w:r w:rsidRPr="00965C80">
              <w:rPr>
                <w:rStyle w:val="googqs-tidbitgoogqs-tidbit-0"/>
                <w:rFonts w:ascii="Arial Narrow" w:hAnsi="Arial Narrow" w:cs="Arial"/>
              </w:rPr>
              <w:t xml:space="preserve"> and the Research Involving Human Embryos Act 2002).  Where no such </w:t>
            </w:r>
            <w:r w:rsidRPr="00965C80">
              <w:rPr>
                <w:rStyle w:val="googqs-tidbitgoogqs-tidbit-0"/>
                <w:rFonts w:ascii="Arial Narrow" w:hAnsi="Arial Narrow" w:cs="Arial"/>
                <w:color w:val="000000"/>
              </w:rPr>
              <w:t>mandate exists, determination of the appropriate review pathway is influenced not only by the risk to participants, but also by a range of other contextual considerations:</w:t>
            </w:r>
          </w:p>
          <w:p w14:paraId="768907AD" w14:textId="77777777" w:rsidR="003509F6" w:rsidRPr="00965C80" w:rsidRDefault="003509F6" w:rsidP="00507757">
            <w:pPr>
              <w:pStyle w:val="NoSpacing"/>
              <w:numPr>
                <w:ilvl w:val="0"/>
                <w:numId w:val="17"/>
              </w:numPr>
              <w:spacing w:before="120" w:after="120" w:line="300" w:lineRule="atLeast"/>
              <w:ind w:left="360"/>
              <w:rPr>
                <w:rFonts w:ascii="Arial Narrow" w:hAnsi="Arial Narrow" w:cs="Arial"/>
                <w:color w:val="000000"/>
              </w:rPr>
            </w:pPr>
            <w:r w:rsidRPr="00965C80">
              <w:rPr>
                <w:rFonts w:ascii="Arial Narrow" w:eastAsia="Arial Narrow" w:hAnsi="Arial Narrow" w:cs="Arial"/>
                <w:b/>
                <w:bCs/>
              </w:rPr>
              <w:t>The</w:t>
            </w:r>
            <w:r w:rsidRPr="00965C80">
              <w:rPr>
                <w:rFonts w:ascii="Arial Narrow" w:eastAsia="Arial Narrow" w:hAnsi="Arial Narrow" w:cs="Arial"/>
                <w:b/>
                <w:bCs/>
                <w:spacing w:val="-10"/>
              </w:rPr>
              <w:t xml:space="preserve"> </w:t>
            </w:r>
            <w:r w:rsidRPr="00965C80">
              <w:rPr>
                <w:rFonts w:ascii="Arial Narrow" w:eastAsia="Arial Narrow" w:hAnsi="Arial Narrow" w:cs="Arial"/>
                <w:b/>
                <w:bCs/>
              </w:rPr>
              <w:t>le</w:t>
            </w:r>
            <w:r w:rsidRPr="00965C80">
              <w:rPr>
                <w:rFonts w:ascii="Arial Narrow" w:eastAsia="Arial Narrow" w:hAnsi="Arial Narrow" w:cs="Arial"/>
                <w:b/>
                <w:bCs/>
                <w:spacing w:val="-2"/>
              </w:rPr>
              <w:t>v</w:t>
            </w:r>
            <w:r w:rsidRPr="00965C80">
              <w:rPr>
                <w:rFonts w:ascii="Arial Narrow" w:eastAsia="Arial Narrow" w:hAnsi="Arial Narrow" w:cs="Arial"/>
                <w:b/>
                <w:bCs/>
              </w:rPr>
              <w:t>el</w:t>
            </w:r>
            <w:r w:rsidRPr="00965C80">
              <w:rPr>
                <w:rFonts w:ascii="Arial Narrow" w:eastAsia="Arial Narrow" w:hAnsi="Arial Narrow" w:cs="Arial"/>
                <w:b/>
                <w:bCs/>
                <w:spacing w:val="-9"/>
              </w:rPr>
              <w:t xml:space="preserve"> </w:t>
            </w:r>
            <w:r w:rsidRPr="00965C80">
              <w:rPr>
                <w:rFonts w:ascii="Arial Narrow" w:eastAsia="Arial Narrow" w:hAnsi="Arial Narrow" w:cs="Arial"/>
                <w:b/>
                <w:bCs/>
              </w:rPr>
              <w:t>of</w:t>
            </w:r>
            <w:r w:rsidRPr="00965C80">
              <w:rPr>
                <w:rFonts w:ascii="Arial Narrow" w:eastAsia="Arial Narrow" w:hAnsi="Arial Narrow" w:cs="Arial"/>
                <w:b/>
                <w:bCs/>
                <w:spacing w:val="-12"/>
              </w:rPr>
              <w:t xml:space="preserve"> </w:t>
            </w:r>
            <w:r w:rsidRPr="00965C80">
              <w:rPr>
                <w:rFonts w:ascii="Arial Narrow" w:eastAsia="Arial Narrow" w:hAnsi="Arial Narrow" w:cs="Arial"/>
                <w:b/>
                <w:bCs/>
              </w:rPr>
              <w:t>comp</w:t>
            </w:r>
            <w:r w:rsidRPr="00965C80">
              <w:rPr>
                <w:rFonts w:ascii="Arial Narrow" w:eastAsia="Arial Narrow" w:hAnsi="Arial Narrow" w:cs="Arial"/>
                <w:b/>
                <w:bCs/>
                <w:spacing w:val="-3"/>
              </w:rPr>
              <w:t>l</w:t>
            </w:r>
            <w:r w:rsidRPr="00965C80">
              <w:rPr>
                <w:rFonts w:ascii="Arial Narrow" w:eastAsia="Arial Narrow" w:hAnsi="Arial Narrow" w:cs="Arial"/>
                <w:b/>
                <w:bCs/>
              </w:rPr>
              <w:t>exity</w:t>
            </w:r>
            <w:r w:rsidRPr="00965C80">
              <w:rPr>
                <w:rFonts w:ascii="Arial Narrow" w:eastAsia="Arial Narrow" w:hAnsi="Arial Narrow" w:cs="Arial"/>
                <w:b/>
                <w:bCs/>
                <w:spacing w:val="-12"/>
              </w:rPr>
              <w:t xml:space="preserve"> </w:t>
            </w:r>
            <w:r w:rsidRPr="00965C80">
              <w:rPr>
                <w:rFonts w:ascii="Arial Narrow" w:eastAsia="Arial Narrow" w:hAnsi="Arial Narrow" w:cs="Arial"/>
                <w:b/>
              </w:rPr>
              <w:t>of</w:t>
            </w:r>
            <w:r w:rsidRPr="00965C80">
              <w:rPr>
                <w:rFonts w:ascii="Arial Narrow" w:eastAsia="Arial Narrow" w:hAnsi="Arial Narrow" w:cs="Arial"/>
                <w:b/>
                <w:spacing w:val="-12"/>
              </w:rPr>
              <w:t xml:space="preserve"> </w:t>
            </w:r>
            <w:r w:rsidRPr="00965C80">
              <w:rPr>
                <w:rFonts w:ascii="Arial Narrow" w:eastAsia="Arial Narrow" w:hAnsi="Arial Narrow" w:cs="Arial"/>
                <w:b/>
              </w:rPr>
              <w:t>the</w:t>
            </w:r>
            <w:r w:rsidRPr="00965C80">
              <w:rPr>
                <w:rFonts w:ascii="Arial Narrow" w:eastAsia="Arial Narrow" w:hAnsi="Arial Narrow" w:cs="Arial"/>
                <w:b/>
                <w:spacing w:val="-12"/>
              </w:rPr>
              <w:t xml:space="preserve"> </w:t>
            </w:r>
            <w:r w:rsidRPr="00965C80">
              <w:rPr>
                <w:rFonts w:ascii="Arial Narrow" w:eastAsia="Arial Narrow" w:hAnsi="Arial Narrow" w:cs="Arial"/>
                <w:b/>
              </w:rPr>
              <w:t>res</w:t>
            </w:r>
            <w:r w:rsidRPr="00965C80">
              <w:rPr>
                <w:rFonts w:ascii="Arial Narrow" w:eastAsia="Arial Narrow" w:hAnsi="Arial Narrow" w:cs="Arial"/>
                <w:b/>
                <w:spacing w:val="-2"/>
              </w:rPr>
              <w:t>e</w:t>
            </w:r>
            <w:r w:rsidRPr="00965C80">
              <w:rPr>
                <w:rFonts w:ascii="Arial Narrow" w:eastAsia="Arial Narrow" w:hAnsi="Arial Narrow" w:cs="Arial"/>
                <w:b/>
              </w:rPr>
              <w:t>arc</w:t>
            </w:r>
            <w:r w:rsidRPr="00965C80">
              <w:rPr>
                <w:rFonts w:ascii="Arial Narrow" w:eastAsia="Arial Narrow" w:hAnsi="Arial Narrow" w:cs="Arial"/>
                <w:b/>
                <w:spacing w:val="1"/>
              </w:rPr>
              <w:t>h</w:t>
            </w:r>
            <w:r w:rsidRPr="00965C80">
              <w:rPr>
                <w:rFonts w:ascii="Arial Narrow" w:eastAsia="Arial Narrow" w:hAnsi="Arial Narrow" w:cs="Arial"/>
                <w:spacing w:val="1"/>
              </w:rPr>
              <w:t xml:space="preserve">: </w:t>
            </w:r>
            <w:r w:rsidRPr="00965C80">
              <w:rPr>
                <w:rFonts w:ascii="Arial Narrow" w:hAnsi="Arial Narrow" w:cs="Arial"/>
              </w:rPr>
              <w:t xml:space="preserve">For certain types of research such as complex qualitative research or clinical trials, the HREC may wish </w:t>
            </w:r>
            <w:proofErr w:type="gramStart"/>
            <w:r w:rsidRPr="00965C80">
              <w:rPr>
                <w:rFonts w:ascii="Arial Narrow" w:hAnsi="Arial Narrow" w:cs="Arial"/>
              </w:rPr>
              <w:t>undertake/confirm</w:t>
            </w:r>
            <w:proofErr w:type="gramEnd"/>
            <w:r w:rsidRPr="00965C80">
              <w:rPr>
                <w:rFonts w:ascii="Arial Narrow" w:hAnsi="Arial Narrow" w:cs="Arial"/>
              </w:rPr>
              <w:t xml:space="preserve"> that a rigorous assessment of the </w:t>
            </w:r>
            <w:r w:rsidRPr="00965C80">
              <w:rPr>
                <w:rFonts w:ascii="Arial Narrow" w:hAnsi="Arial Narrow" w:cs="Arial"/>
                <w:color w:val="000000"/>
              </w:rPr>
              <w:t xml:space="preserve">methods used to avoid or reduce bias has taken place, as </w:t>
            </w:r>
            <w:r w:rsidRPr="00965C80">
              <w:rPr>
                <w:rFonts w:ascii="Arial Narrow" w:eastAsia="Arial Narrow" w:hAnsi="Arial Narrow" w:cs="Arial"/>
                <w:spacing w:val="1"/>
              </w:rPr>
              <w:t>poorly designed research poses risks to data validity and credibility.</w:t>
            </w:r>
          </w:p>
          <w:p w14:paraId="01F86E2A" w14:textId="77777777" w:rsidR="003509F6" w:rsidRPr="00965C80" w:rsidRDefault="003509F6" w:rsidP="00507757">
            <w:pPr>
              <w:pStyle w:val="NoSpacing"/>
              <w:numPr>
                <w:ilvl w:val="0"/>
                <w:numId w:val="17"/>
              </w:numPr>
              <w:spacing w:before="120" w:after="120" w:line="300" w:lineRule="atLeast"/>
              <w:ind w:left="360"/>
              <w:jc w:val="both"/>
              <w:rPr>
                <w:rStyle w:val="googqs-tidbitgoogqs-tidbit-0"/>
                <w:rFonts w:ascii="Arial Narrow" w:hAnsi="Arial Narrow" w:cs="Arial"/>
                <w:color w:val="000000"/>
              </w:rPr>
            </w:pPr>
            <w:r w:rsidRPr="00965C80">
              <w:rPr>
                <w:rStyle w:val="googqs-tidbitgoogqs-tidbit-0"/>
                <w:rFonts w:ascii="Arial Narrow" w:hAnsi="Arial Narrow" w:cs="Arial"/>
                <w:b/>
                <w:color w:val="000000"/>
              </w:rPr>
              <w:t xml:space="preserve">Whether a research activity raises associated ethical issues:  </w:t>
            </w:r>
            <w:r w:rsidRPr="00965C80">
              <w:rPr>
                <w:rStyle w:val="googqs-tidbitgoogqs-tidbit-0"/>
                <w:rFonts w:ascii="Arial Narrow" w:hAnsi="Arial Narrow" w:cs="Arial"/>
                <w:color w:val="000000"/>
              </w:rPr>
              <w:t xml:space="preserve">For example: </w:t>
            </w:r>
          </w:p>
          <w:p w14:paraId="32A6ED8B" w14:textId="77777777" w:rsidR="003509F6" w:rsidRPr="00965C80" w:rsidRDefault="003509F6" w:rsidP="00507757">
            <w:pPr>
              <w:pStyle w:val="NoSpacing"/>
              <w:numPr>
                <w:ilvl w:val="1"/>
                <w:numId w:val="15"/>
              </w:numPr>
              <w:spacing w:before="120" w:after="120" w:line="300" w:lineRule="atLeast"/>
              <w:ind w:left="1035"/>
              <w:rPr>
                <w:rStyle w:val="googqs-tidbitgoogqs-tidbit-0"/>
                <w:rFonts w:ascii="Arial Narrow" w:hAnsi="Arial Narrow" w:cs="Arial"/>
                <w:color w:val="000000"/>
              </w:rPr>
            </w:pPr>
            <w:r w:rsidRPr="00965C80">
              <w:rPr>
                <w:rStyle w:val="googqs-tidbitgoogqs-tidbit-0"/>
                <w:rFonts w:ascii="Arial Narrow" w:hAnsi="Arial Narrow" w:cs="Arial"/>
                <w:color w:val="000000"/>
              </w:rPr>
              <w:t xml:space="preserve">The handling of findings that may have health implications for the participant and/or their </w:t>
            </w:r>
            <w:proofErr w:type="gramStart"/>
            <w:r w:rsidRPr="00965C80">
              <w:rPr>
                <w:rStyle w:val="googqs-tidbitgoogqs-tidbit-0"/>
                <w:rFonts w:ascii="Arial Narrow" w:hAnsi="Arial Narrow" w:cs="Arial"/>
                <w:color w:val="000000"/>
              </w:rPr>
              <w:t>family</w:t>
            </w:r>
            <w:proofErr w:type="gramEnd"/>
          </w:p>
          <w:p w14:paraId="48F3AE63" w14:textId="77777777" w:rsidR="003509F6" w:rsidRPr="00965C80" w:rsidRDefault="003509F6" w:rsidP="00507757">
            <w:pPr>
              <w:pStyle w:val="NoSpacing"/>
              <w:numPr>
                <w:ilvl w:val="1"/>
                <w:numId w:val="15"/>
              </w:numPr>
              <w:spacing w:before="120" w:after="120" w:line="300" w:lineRule="atLeast"/>
              <w:ind w:left="1035"/>
              <w:rPr>
                <w:rStyle w:val="googqs-tidbitgoogqs-tidbit-0"/>
                <w:rFonts w:ascii="Arial Narrow" w:hAnsi="Arial Narrow" w:cs="Arial"/>
                <w:color w:val="000000"/>
              </w:rPr>
            </w:pPr>
            <w:r w:rsidRPr="00965C80">
              <w:rPr>
                <w:rStyle w:val="googqs-tidbitgoogqs-tidbit-0"/>
                <w:rFonts w:ascii="Arial Narrow" w:hAnsi="Arial Narrow" w:cs="Arial"/>
                <w:color w:val="000000"/>
              </w:rPr>
              <w:t>For research involving the analysis of bio-specimens, the context</w:t>
            </w:r>
            <w:r w:rsidRPr="00965C80">
              <w:rPr>
                <w:rFonts w:ascii="Arial Narrow" w:hAnsi="Arial Narrow" w:cs="Arial"/>
              </w:rPr>
              <w:t xml:space="preserve"> in which the bio-specimens were acquired </w:t>
            </w:r>
            <w:r w:rsidRPr="00965C80">
              <w:rPr>
                <w:rStyle w:val="googqs-tidbitgoogqs-tidbit-0"/>
                <w:rFonts w:ascii="Arial Narrow" w:hAnsi="Arial Narrow" w:cs="Arial"/>
                <w:color w:val="000000"/>
              </w:rPr>
              <w:t xml:space="preserve">or </w:t>
            </w:r>
            <w:r w:rsidRPr="00965C80">
              <w:rPr>
                <w:rFonts w:ascii="Arial Narrow" w:hAnsi="Arial Narrow" w:cs="Arial"/>
              </w:rPr>
              <w:t>any known limitations the donor(s) placed on their use during the consent process</w:t>
            </w:r>
            <w:r w:rsidRPr="00965C80">
              <w:rPr>
                <w:rStyle w:val="googqs-tidbitgoogqs-tidbit-0"/>
                <w:rFonts w:ascii="Arial Narrow" w:hAnsi="Arial Narrow" w:cs="Arial"/>
                <w:color w:val="000000"/>
              </w:rPr>
              <w:t xml:space="preserve">. </w:t>
            </w:r>
          </w:p>
          <w:p w14:paraId="4775E1FB" w14:textId="77777777" w:rsidR="003509F6" w:rsidRPr="00965C80" w:rsidRDefault="003509F6" w:rsidP="00507757">
            <w:pPr>
              <w:pStyle w:val="NoSpacing"/>
              <w:numPr>
                <w:ilvl w:val="0"/>
                <w:numId w:val="14"/>
              </w:numPr>
              <w:spacing w:before="120" w:after="120" w:line="300" w:lineRule="atLeast"/>
              <w:ind w:left="315"/>
              <w:rPr>
                <w:rStyle w:val="googqs-tidbitgoogqs-tidbit-0"/>
                <w:rFonts w:ascii="Arial Narrow" w:hAnsi="Arial Narrow" w:cs="Arial"/>
                <w:color w:val="000000"/>
              </w:rPr>
            </w:pPr>
            <w:r w:rsidRPr="00965C80">
              <w:rPr>
                <w:rStyle w:val="googqs-tidbitgoogqs-tidbit-0"/>
                <w:rFonts w:ascii="Arial Narrow" w:hAnsi="Arial Narrow" w:cs="Arial"/>
                <w:b/>
                <w:color w:val="000000"/>
              </w:rPr>
              <w:t xml:space="preserve">Participant characteristics: </w:t>
            </w:r>
            <w:r w:rsidRPr="00965C80">
              <w:rPr>
                <w:rStyle w:val="googqs-tidbitgoogqs-tidbit-0"/>
                <w:rFonts w:ascii="Arial Narrow" w:hAnsi="Arial Narrow" w:cs="Arial"/>
                <w:color w:val="000000"/>
              </w:rPr>
              <w:t>The National Statement outlines ethical considerations specific to participants in Section 4, which may influence the level of ethics review required.  For example</w:t>
            </w:r>
            <w:r w:rsidRPr="00965C80">
              <w:rPr>
                <w:rStyle w:val="googqs-tidbitgoogqs-tidbit-0"/>
                <w:rFonts w:ascii="Arial Narrow" w:hAnsi="Arial Narrow" w:cs="Arial"/>
                <w:b/>
                <w:color w:val="000000"/>
              </w:rPr>
              <w:t>:</w:t>
            </w:r>
          </w:p>
          <w:p w14:paraId="106B481B" w14:textId="77777777" w:rsidR="003509F6" w:rsidRPr="00965C80" w:rsidRDefault="003509F6" w:rsidP="00507757">
            <w:pPr>
              <w:pStyle w:val="NoSpacing"/>
              <w:numPr>
                <w:ilvl w:val="1"/>
                <w:numId w:val="16"/>
              </w:numPr>
              <w:spacing w:before="120" w:after="120" w:line="300" w:lineRule="atLeast"/>
              <w:ind w:left="1035"/>
              <w:rPr>
                <w:rStyle w:val="googqs-tidbitgoogqs-tidbit-0"/>
                <w:rFonts w:ascii="Arial Narrow" w:hAnsi="Arial Narrow" w:cs="Arial"/>
                <w:color w:val="000000"/>
              </w:rPr>
            </w:pPr>
            <w:r w:rsidRPr="00965C80">
              <w:rPr>
                <w:rStyle w:val="googqs-tidbitgoogqs-tidbit-0"/>
                <w:rFonts w:ascii="Arial Narrow" w:hAnsi="Arial Narrow" w:cs="Arial"/>
                <w:color w:val="000000"/>
              </w:rPr>
              <w:t xml:space="preserve">Cultural or religious considerations or the possibility that a dependent relationship may compromise the voluntary character of the participant’s </w:t>
            </w:r>
            <w:proofErr w:type="gramStart"/>
            <w:r w:rsidRPr="00965C80">
              <w:rPr>
                <w:rStyle w:val="googqs-tidbitgoogqs-tidbit-0"/>
                <w:rFonts w:ascii="Arial Narrow" w:hAnsi="Arial Narrow" w:cs="Arial"/>
                <w:color w:val="000000"/>
              </w:rPr>
              <w:t>decisions</w:t>
            </w:r>
            <w:proofErr w:type="gramEnd"/>
          </w:p>
          <w:p w14:paraId="7EB9F930" w14:textId="77777777" w:rsidR="003509F6" w:rsidRPr="00965C80" w:rsidRDefault="003509F6" w:rsidP="00507757">
            <w:pPr>
              <w:pStyle w:val="NoSpacing"/>
              <w:numPr>
                <w:ilvl w:val="1"/>
                <w:numId w:val="16"/>
              </w:numPr>
              <w:spacing w:before="120" w:after="120" w:line="300" w:lineRule="atLeast"/>
              <w:ind w:left="1035"/>
              <w:rPr>
                <w:rStyle w:val="googqs-tidbitgoogqs-tidbit-0"/>
                <w:rFonts w:ascii="Arial Narrow" w:hAnsi="Arial Narrow" w:cs="Arial"/>
                <w:color w:val="000000"/>
              </w:rPr>
            </w:pPr>
            <w:r w:rsidRPr="00965C80">
              <w:rPr>
                <w:rStyle w:val="googqs-tidbitgoogqs-tidbit-0"/>
                <w:rFonts w:ascii="Arial Narrow" w:hAnsi="Arial Narrow" w:cs="Arial"/>
                <w:color w:val="000000"/>
              </w:rPr>
              <w:t>Whether participants have the capacity to give their informed consent</w:t>
            </w:r>
          </w:p>
          <w:p w14:paraId="3F99AE48" w14:textId="77777777" w:rsidR="003509F6" w:rsidRPr="00965C80" w:rsidRDefault="003509F6" w:rsidP="00507757">
            <w:pPr>
              <w:pStyle w:val="NoSpacing"/>
              <w:numPr>
                <w:ilvl w:val="0"/>
                <w:numId w:val="14"/>
              </w:numPr>
              <w:spacing w:before="120" w:after="120" w:line="300" w:lineRule="atLeast"/>
              <w:ind w:left="315"/>
              <w:rPr>
                <w:rStyle w:val="googqs-tidbitgoogqs-tidbit-0"/>
                <w:rFonts w:ascii="Arial Narrow" w:hAnsi="Arial Narrow" w:cs="Arial"/>
                <w:color w:val="000000"/>
              </w:rPr>
            </w:pPr>
            <w:r w:rsidRPr="00965C80">
              <w:rPr>
                <w:rStyle w:val="googqs-tidbitgoogqs-tidbit-0"/>
                <w:rFonts w:ascii="Arial Narrow" w:hAnsi="Arial Narrow" w:cs="Arial"/>
                <w:b/>
                <w:color w:val="000000"/>
              </w:rPr>
              <w:t xml:space="preserve">The intent of the research: </w:t>
            </w:r>
            <w:r w:rsidRPr="00965C80">
              <w:rPr>
                <w:rStyle w:val="googqs-tidbitgoogqs-tidbit-0"/>
                <w:rFonts w:ascii="Arial Narrow" w:hAnsi="Arial Narrow" w:cs="Arial"/>
                <w:color w:val="000000"/>
              </w:rPr>
              <w:t xml:space="preserve">For example, </w:t>
            </w:r>
          </w:p>
          <w:p w14:paraId="05BFE623" w14:textId="77777777" w:rsidR="003509F6" w:rsidRPr="00965C80" w:rsidRDefault="003509F6" w:rsidP="00507757">
            <w:pPr>
              <w:pStyle w:val="NoSpacing"/>
              <w:numPr>
                <w:ilvl w:val="1"/>
                <w:numId w:val="14"/>
              </w:numPr>
              <w:spacing w:before="120" w:after="120" w:line="300" w:lineRule="atLeast"/>
              <w:ind w:left="1035"/>
              <w:rPr>
                <w:rStyle w:val="googqs-tidbitgoogqs-tidbit-0"/>
                <w:rFonts w:ascii="Arial Narrow" w:hAnsi="Arial Narrow" w:cs="Arial"/>
                <w:color w:val="000000"/>
              </w:rPr>
            </w:pPr>
            <w:r w:rsidRPr="00965C80">
              <w:rPr>
                <w:rStyle w:val="googqs-tidbitgoogqs-tidbit-0"/>
                <w:rFonts w:ascii="Arial Narrow" w:hAnsi="Arial Narrow" w:cs="Arial"/>
                <w:color w:val="000000"/>
              </w:rPr>
              <w:t>Whether the research aims to expose illegal activity or involve active deception or planned concealment</w:t>
            </w:r>
          </w:p>
          <w:p w14:paraId="2DEC885C" w14:textId="77777777" w:rsidR="003509F6" w:rsidRPr="00965C80" w:rsidRDefault="003509F6" w:rsidP="00507757">
            <w:pPr>
              <w:pStyle w:val="NoSpacing"/>
              <w:numPr>
                <w:ilvl w:val="0"/>
                <w:numId w:val="14"/>
              </w:numPr>
              <w:spacing w:before="120" w:after="120" w:line="300" w:lineRule="atLeast"/>
              <w:ind w:left="315"/>
              <w:rPr>
                <w:rStyle w:val="googqs-tidbitgoogqs-tidbit-0"/>
                <w:rFonts w:ascii="Arial Narrow" w:hAnsi="Arial Narrow" w:cs="Arial"/>
                <w:color w:val="000000"/>
              </w:rPr>
            </w:pPr>
            <w:r w:rsidRPr="00965C80">
              <w:rPr>
                <w:rStyle w:val="googqs-tidbitgoogqs-tidbit-0"/>
                <w:rFonts w:ascii="Arial Narrow" w:hAnsi="Arial Narrow" w:cs="Arial"/>
                <w:b/>
                <w:color w:val="000000"/>
              </w:rPr>
              <w:t xml:space="preserve">The risks to researchers or staff:  </w:t>
            </w:r>
            <w:r w:rsidRPr="00965C80">
              <w:rPr>
                <w:rStyle w:val="googqs-tidbitgoogqs-tidbit-0"/>
                <w:rFonts w:ascii="Arial Narrow" w:hAnsi="Arial Narrow" w:cs="Arial"/>
                <w:color w:val="000000"/>
              </w:rPr>
              <w:t xml:space="preserve">For example, </w:t>
            </w:r>
          </w:p>
          <w:p w14:paraId="6637FB60" w14:textId="77777777" w:rsidR="003509F6" w:rsidRPr="00965C80" w:rsidRDefault="003509F6" w:rsidP="00507757">
            <w:pPr>
              <w:pStyle w:val="NoSpacing"/>
              <w:numPr>
                <w:ilvl w:val="1"/>
                <w:numId w:val="14"/>
              </w:numPr>
              <w:spacing w:before="120" w:after="120" w:line="300" w:lineRule="atLeast"/>
              <w:ind w:left="1035"/>
              <w:rPr>
                <w:rStyle w:val="googqs-tidbitgoogqs-tidbit-0"/>
                <w:rFonts w:ascii="Arial Narrow" w:hAnsi="Arial Narrow" w:cs="Arial"/>
                <w:color w:val="000000"/>
              </w:rPr>
            </w:pPr>
            <w:r w:rsidRPr="00965C80">
              <w:rPr>
                <w:rStyle w:val="googqs-tidbitgoogqs-tidbit-0"/>
                <w:rFonts w:ascii="Arial Narrow" w:hAnsi="Arial Narrow" w:cs="Arial"/>
                <w:color w:val="000000"/>
              </w:rPr>
              <w:t xml:space="preserve">Research assessing emergency services or research requiring home </w:t>
            </w:r>
            <w:proofErr w:type="gramStart"/>
            <w:r w:rsidRPr="00965C80">
              <w:rPr>
                <w:rStyle w:val="googqs-tidbitgoogqs-tidbit-0"/>
                <w:rFonts w:ascii="Arial Narrow" w:hAnsi="Arial Narrow" w:cs="Arial"/>
                <w:color w:val="000000"/>
              </w:rPr>
              <w:t>visits</w:t>
            </w:r>
            <w:proofErr w:type="gramEnd"/>
            <w:r w:rsidRPr="00965C80">
              <w:rPr>
                <w:rStyle w:val="googqs-tidbitgoogqs-tidbit-0"/>
                <w:rFonts w:ascii="Arial Narrow" w:hAnsi="Arial Narrow" w:cs="Arial"/>
                <w:color w:val="000000"/>
              </w:rPr>
              <w:t xml:space="preserve"> </w:t>
            </w:r>
          </w:p>
          <w:p w14:paraId="0CB3766F" w14:textId="77777777" w:rsidR="003509F6" w:rsidRPr="00965C80" w:rsidRDefault="003509F6" w:rsidP="00507757">
            <w:pPr>
              <w:pStyle w:val="NoSpacing"/>
              <w:numPr>
                <w:ilvl w:val="0"/>
                <w:numId w:val="14"/>
              </w:numPr>
              <w:spacing w:before="120" w:after="120" w:line="300" w:lineRule="atLeast"/>
              <w:ind w:left="315"/>
              <w:rPr>
                <w:rStyle w:val="googqs-tidbitgoogqs-tidbit-0"/>
                <w:rFonts w:ascii="Arial Narrow" w:hAnsi="Arial Narrow" w:cs="Arial"/>
                <w:color w:val="000000"/>
              </w:rPr>
            </w:pPr>
            <w:r w:rsidRPr="00965C80">
              <w:rPr>
                <w:rStyle w:val="googqs-tidbitgoogqs-tidbit-0"/>
                <w:rFonts w:ascii="Arial Narrow" w:hAnsi="Arial Narrow" w:cs="Arial"/>
                <w:b/>
                <w:color w:val="000000"/>
              </w:rPr>
              <w:t>The nature and context of the test/procedure/measure</w:t>
            </w:r>
            <w:r w:rsidRPr="00965C80">
              <w:rPr>
                <w:rStyle w:val="googqs-tidbitgoogqs-tidbit-0"/>
                <w:rFonts w:ascii="Arial Narrow" w:hAnsi="Arial Narrow" w:cs="Arial"/>
                <w:color w:val="000000"/>
              </w:rPr>
              <w:t>: For example,</w:t>
            </w:r>
          </w:p>
          <w:p w14:paraId="5BD32AA8" w14:textId="77777777" w:rsidR="003509F6" w:rsidRPr="00965C80" w:rsidRDefault="003509F6" w:rsidP="00507757">
            <w:pPr>
              <w:pStyle w:val="NoSpacing"/>
              <w:numPr>
                <w:ilvl w:val="1"/>
                <w:numId w:val="14"/>
              </w:numPr>
              <w:spacing w:before="120" w:after="120" w:line="300" w:lineRule="atLeast"/>
              <w:ind w:left="1035"/>
              <w:rPr>
                <w:rStyle w:val="googqs-tidbitgoogqs-tidbit-0"/>
                <w:rFonts w:ascii="Arial Narrow" w:hAnsi="Arial Narrow" w:cs="Arial"/>
                <w:color w:val="000000"/>
              </w:rPr>
            </w:pPr>
            <w:r w:rsidRPr="00965C80">
              <w:rPr>
                <w:rStyle w:val="googqs-tidbitgoogqs-tidbit-0"/>
                <w:rFonts w:ascii="Arial Narrow" w:hAnsi="Arial Narrow" w:cs="Arial"/>
                <w:color w:val="000000"/>
              </w:rPr>
              <w:t>The frequency of its use</w:t>
            </w:r>
          </w:p>
          <w:p w14:paraId="4F1860EC" w14:textId="77777777" w:rsidR="003509F6" w:rsidRPr="00965C80" w:rsidRDefault="003509F6" w:rsidP="00507757">
            <w:pPr>
              <w:pStyle w:val="NoSpacing"/>
              <w:numPr>
                <w:ilvl w:val="1"/>
                <w:numId w:val="14"/>
              </w:numPr>
              <w:spacing w:before="120" w:after="120" w:line="300" w:lineRule="atLeast"/>
              <w:ind w:left="1035"/>
              <w:rPr>
                <w:rStyle w:val="googqs-tidbitgoogqs-tidbit-0"/>
                <w:rFonts w:ascii="Arial Narrow" w:hAnsi="Arial Narrow" w:cs="Arial"/>
                <w:color w:val="000000"/>
              </w:rPr>
            </w:pPr>
            <w:r w:rsidRPr="00965C80">
              <w:rPr>
                <w:rStyle w:val="googqs-tidbitgoogqs-tidbit-0"/>
                <w:rFonts w:ascii="Arial Narrow" w:hAnsi="Arial Narrow" w:cs="Arial"/>
                <w:color w:val="000000"/>
              </w:rPr>
              <w:t>The degree of its invasiveness</w:t>
            </w:r>
          </w:p>
          <w:p w14:paraId="754B1B2B" w14:textId="77777777" w:rsidR="003509F6" w:rsidRPr="00965C80" w:rsidRDefault="003509F6" w:rsidP="00507757">
            <w:pPr>
              <w:pStyle w:val="NoSpacing"/>
              <w:numPr>
                <w:ilvl w:val="1"/>
                <w:numId w:val="14"/>
              </w:numPr>
              <w:spacing w:before="120" w:after="120" w:line="300" w:lineRule="atLeast"/>
              <w:ind w:left="1035"/>
              <w:rPr>
                <w:rStyle w:val="googqs-tidbitgoogqs-tidbit-0"/>
                <w:rFonts w:ascii="Arial Narrow" w:hAnsi="Arial Narrow" w:cs="Arial"/>
                <w:color w:val="000000"/>
              </w:rPr>
            </w:pPr>
            <w:r w:rsidRPr="00965C80">
              <w:rPr>
                <w:rStyle w:val="googqs-tidbitgoogqs-tidbit-0"/>
                <w:rFonts w:ascii="Arial Narrow" w:hAnsi="Arial Narrow" w:cs="Arial"/>
                <w:color w:val="000000"/>
              </w:rPr>
              <w:t xml:space="preserve">The skill and experience of the person performing </w:t>
            </w:r>
            <w:proofErr w:type="gramStart"/>
            <w:r w:rsidRPr="00965C80">
              <w:rPr>
                <w:rStyle w:val="googqs-tidbitgoogqs-tidbit-0"/>
                <w:rFonts w:ascii="Arial Narrow" w:hAnsi="Arial Narrow" w:cs="Arial"/>
                <w:color w:val="000000"/>
              </w:rPr>
              <w:t>it</w:t>
            </w:r>
            <w:proofErr w:type="gramEnd"/>
          </w:p>
          <w:p w14:paraId="5D5E2DDD" w14:textId="77777777" w:rsidR="003509F6" w:rsidRPr="00965C80" w:rsidRDefault="003509F6" w:rsidP="00507757">
            <w:pPr>
              <w:pStyle w:val="NoSpacing"/>
              <w:numPr>
                <w:ilvl w:val="1"/>
                <w:numId w:val="14"/>
              </w:numPr>
              <w:spacing w:before="120" w:after="120" w:line="300" w:lineRule="atLeast"/>
              <w:ind w:left="1035"/>
              <w:rPr>
                <w:rStyle w:val="googqs-tidbitgoogqs-tidbit-0"/>
                <w:rFonts w:ascii="Arial Narrow" w:hAnsi="Arial Narrow" w:cs="Arial"/>
                <w:color w:val="000000"/>
              </w:rPr>
            </w:pPr>
            <w:r w:rsidRPr="00965C80">
              <w:rPr>
                <w:rStyle w:val="googqs-tidbitgoogqs-tidbit-0"/>
                <w:rFonts w:ascii="Arial Narrow" w:hAnsi="Arial Narrow" w:cs="Arial"/>
                <w:color w:val="000000"/>
              </w:rPr>
              <w:t xml:space="preserve">Whether there is adequate supervision of the activity </w:t>
            </w:r>
          </w:p>
          <w:p w14:paraId="01127133" w14:textId="77777777" w:rsidR="003509F6" w:rsidRPr="00965C80" w:rsidRDefault="003509F6" w:rsidP="00507757">
            <w:pPr>
              <w:pStyle w:val="NoSpacing"/>
              <w:numPr>
                <w:ilvl w:val="1"/>
                <w:numId w:val="14"/>
              </w:numPr>
              <w:spacing w:before="120" w:after="120" w:line="300" w:lineRule="atLeast"/>
              <w:ind w:left="1035"/>
              <w:rPr>
                <w:rStyle w:val="googqs-tidbitgoogqs-tidbit-0"/>
                <w:rFonts w:ascii="Arial Narrow" w:hAnsi="Arial Narrow" w:cs="Arial"/>
                <w:color w:val="000000"/>
              </w:rPr>
            </w:pPr>
            <w:r w:rsidRPr="00965C80">
              <w:rPr>
                <w:rStyle w:val="googqs-tidbitgoogqs-tidbit-0"/>
                <w:rFonts w:ascii="Arial Narrow" w:hAnsi="Arial Narrow" w:cs="Arial"/>
                <w:color w:val="000000"/>
              </w:rPr>
              <w:t>Whether the measure is already part of the</w:t>
            </w:r>
            <w:r w:rsidRPr="00965C80">
              <w:rPr>
                <w:rStyle w:val="googqs-tidbitgoogqs-tidbit-0"/>
                <w:rFonts w:ascii="Arial Narrow" w:hAnsi="Arial Narrow" w:cs="Arial"/>
                <w:b/>
                <w:color w:val="000000"/>
              </w:rPr>
              <w:t xml:space="preserve"> standard of care</w:t>
            </w:r>
            <w:r w:rsidRPr="00965C80">
              <w:rPr>
                <w:rStyle w:val="googqs-tidbitgoogqs-tidbit-0"/>
                <w:rFonts w:ascii="Arial Narrow" w:hAnsi="Arial Narrow" w:cs="Arial"/>
                <w:color w:val="000000"/>
              </w:rPr>
              <w:t xml:space="preserve"> is also relevant to the determination of whether a research project is suitable for review under low or negligible risk processes. Section 3.1.6 of the National Statement should be considered:</w:t>
            </w:r>
          </w:p>
          <w:p w14:paraId="3B8D52F2" w14:textId="77777777" w:rsidR="003509F6" w:rsidRPr="00965C80" w:rsidRDefault="003509F6" w:rsidP="00507757">
            <w:pPr>
              <w:pStyle w:val="NoSpacing"/>
              <w:spacing w:before="120" w:after="120" w:line="300" w:lineRule="atLeast"/>
              <w:rPr>
                <w:rStyle w:val="googqs-tidbitgoogqs-tidbit-0"/>
                <w:rFonts w:ascii="Arial Narrow" w:hAnsi="Arial Narrow" w:cs="Arial"/>
                <w:color w:val="000000"/>
              </w:rPr>
            </w:pPr>
            <w:r w:rsidRPr="00965C80">
              <w:rPr>
                <w:rFonts w:ascii="Arial Narrow" w:hAnsi="Arial Narrow" w:cs="Arial"/>
                <w:i/>
              </w:rPr>
              <w:t>In health research involving an intervention, the risks of an intervention should be evaluated by researchers and reviewers in the context of the risks of the health condition and the treatment or treatment options that would otherwise be provided as part of usual care.</w:t>
            </w:r>
          </w:p>
          <w:p w14:paraId="37B3E834" w14:textId="77777777" w:rsidR="003509F6" w:rsidRPr="00965C80" w:rsidRDefault="003509F6" w:rsidP="00507757">
            <w:pPr>
              <w:pStyle w:val="NormalWeb"/>
              <w:numPr>
                <w:ilvl w:val="0"/>
                <w:numId w:val="11"/>
              </w:numPr>
              <w:spacing w:before="120" w:after="120" w:line="300" w:lineRule="atLeast"/>
              <w:rPr>
                <w:rStyle w:val="googqs-tidbitgoogqs-tidbit-0"/>
                <w:rFonts w:ascii="Arial Narrow" w:hAnsi="Arial Narrow" w:cs="Arial"/>
                <w:b/>
                <w:color w:val="0070C0"/>
              </w:rPr>
            </w:pPr>
            <w:r w:rsidRPr="00965C80">
              <w:rPr>
                <w:rStyle w:val="googqs-tidbitgoogqs-tidbit-0"/>
                <w:rFonts w:ascii="Arial Narrow" w:hAnsi="Arial Narrow" w:cs="Arial"/>
                <w:b/>
                <w:color w:val="0070C0"/>
              </w:rPr>
              <w:lastRenderedPageBreak/>
              <w:t xml:space="preserve">Projects that must be reviewed by an </w:t>
            </w:r>
            <w:proofErr w:type="gramStart"/>
            <w:r w:rsidRPr="00965C80">
              <w:rPr>
                <w:rStyle w:val="googqs-tidbitgoogqs-tidbit-0"/>
                <w:rFonts w:ascii="Arial Narrow" w:hAnsi="Arial Narrow" w:cs="Arial"/>
                <w:b/>
                <w:color w:val="0070C0"/>
              </w:rPr>
              <w:t>HREC</w:t>
            </w:r>
            <w:proofErr w:type="gramEnd"/>
          </w:p>
          <w:p w14:paraId="0BDFF37A" w14:textId="77777777" w:rsidR="003509F6" w:rsidRPr="00965C80" w:rsidRDefault="003509F6" w:rsidP="00507757">
            <w:pPr>
              <w:spacing w:before="120" w:after="120"/>
              <w:ind w:right="48"/>
              <w:rPr>
                <w:rFonts w:ascii="Arial Narrow" w:eastAsia="Arial Narrow" w:hAnsi="Arial Narrow" w:cs="Arial"/>
              </w:rPr>
            </w:pPr>
            <w:r w:rsidRPr="00965C80">
              <w:rPr>
                <w:rFonts w:ascii="Arial Narrow" w:eastAsia="Arial Narrow" w:hAnsi="Arial Narrow" w:cs="Arial"/>
              </w:rPr>
              <w:t>According to the National Statement, if the pr</w:t>
            </w:r>
            <w:r w:rsidRPr="00965C80">
              <w:rPr>
                <w:rFonts w:ascii="Arial Narrow" w:eastAsia="Arial Narrow" w:hAnsi="Arial Narrow" w:cs="Arial"/>
                <w:spacing w:val="-2"/>
              </w:rPr>
              <w:t>o</w:t>
            </w:r>
            <w:r w:rsidRPr="00965C80">
              <w:rPr>
                <w:rFonts w:ascii="Arial Narrow" w:eastAsia="Arial Narrow" w:hAnsi="Arial Narrow" w:cs="Arial"/>
              </w:rPr>
              <w:t>je</w:t>
            </w:r>
            <w:r w:rsidRPr="00965C80">
              <w:rPr>
                <w:rFonts w:ascii="Arial Narrow" w:eastAsia="Arial Narrow" w:hAnsi="Arial Narrow" w:cs="Arial"/>
                <w:spacing w:val="1"/>
              </w:rPr>
              <w:t>c</w:t>
            </w:r>
            <w:r w:rsidRPr="00965C80">
              <w:rPr>
                <w:rFonts w:ascii="Arial Narrow" w:eastAsia="Arial Narrow" w:hAnsi="Arial Narrow" w:cs="Arial"/>
              </w:rPr>
              <w:t>t</w:t>
            </w:r>
            <w:r w:rsidRPr="00965C80">
              <w:rPr>
                <w:rFonts w:ascii="Arial Narrow" w:eastAsia="Arial Narrow" w:hAnsi="Arial Narrow" w:cs="Arial"/>
                <w:spacing w:val="-2"/>
              </w:rPr>
              <w:t xml:space="preserve"> </w:t>
            </w:r>
            <w:r w:rsidRPr="00965C80">
              <w:rPr>
                <w:rFonts w:ascii="Arial Narrow" w:eastAsia="Arial Narrow" w:hAnsi="Arial Narrow" w:cs="Arial"/>
              </w:rPr>
              <w:t>in</w:t>
            </w:r>
            <w:r w:rsidRPr="00965C80">
              <w:rPr>
                <w:rFonts w:ascii="Arial Narrow" w:eastAsia="Arial Narrow" w:hAnsi="Arial Narrow" w:cs="Arial"/>
                <w:spacing w:val="-1"/>
              </w:rPr>
              <w:t>c</w:t>
            </w:r>
            <w:r w:rsidRPr="00965C80">
              <w:rPr>
                <w:rFonts w:ascii="Arial Narrow" w:eastAsia="Arial Narrow" w:hAnsi="Arial Narrow" w:cs="Arial"/>
              </w:rPr>
              <w:t>ludes</w:t>
            </w:r>
            <w:r w:rsidRPr="00965C80">
              <w:rPr>
                <w:rFonts w:ascii="Arial Narrow" w:eastAsia="Arial Narrow" w:hAnsi="Arial Narrow" w:cs="Arial"/>
                <w:spacing w:val="-2"/>
              </w:rPr>
              <w:t xml:space="preserve"> </w:t>
            </w:r>
            <w:r w:rsidRPr="00965C80">
              <w:rPr>
                <w:rFonts w:ascii="Arial Narrow" w:eastAsia="Arial Narrow" w:hAnsi="Arial Narrow" w:cs="Arial"/>
              </w:rPr>
              <w:t>any</w:t>
            </w:r>
            <w:r w:rsidRPr="00965C80">
              <w:rPr>
                <w:rFonts w:ascii="Arial Narrow" w:eastAsia="Arial Narrow" w:hAnsi="Arial Narrow" w:cs="Arial"/>
                <w:spacing w:val="-2"/>
              </w:rPr>
              <w:t xml:space="preserve"> </w:t>
            </w:r>
            <w:r w:rsidRPr="00965C80">
              <w:rPr>
                <w:rFonts w:ascii="Arial Narrow" w:eastAsia="Arial Narrow" w:hAnsi="Arial Narrow" w:cs="Arial"/>
              </w:rPr>
              <w:t>of t</w:t>
            </w:r>
            <w:r w:rsidRPr="00965C80">
              <w:rPr>
                <w:rFonts w:ascii="Arial Narrow" w:eastAsia="Arial Narrow" w:hAnsi="Arial Narrow" w:cs="Arial"/>
                <w:spacing w:val="-2"/>
              </w:rPr>
              <w:t>h</w:t>
            </w:r>
            <w:r w:rsidRPr="00965C80">
              <w:rPr>
                <w:rFonts w:ascii="Arial Narrow" w:eastAsia="Arial Narrow" w:hAnsi="Arial Narrow" w:cs="Arial"/>
              </w:rPr>
              <w:t>e follow</w:t>
            </w:r>
            <w:r w:rsidRPr="00965C80">
              <w:rPr>
                <w:rFonts w:ascii="Arial Narrow" w:eastAsia="Arial Narrow" w:hAnsi="Arial Narrow" w:cs="Arial"/>
                <w:spacing w:val="-2"/>
              </w:rPr>
              <w:t>i</w:t>
            </w:r>
            <w:r w:rsidRPr="00965C80">
              <w:rPr>
                <w:rFonts w:ascii="Arial Narrow" w:eastAsia="Arial Narrow" w:hAnsi="Arial Narrow" w:cs="Arial"/>
              </w:rPr>
              <w:t>ng t</w:t>
            </w:r>
            <w:r w:rsidRPr="00965C80">
              <w:rPr>
                <w:rFonts w:ascii="Arial Narrow" w:eastAsia="Arial Narrow" w:hAnsi="Arial Narrow" w:cs="Arial"/>
                <w:spacing w:val="-2"/>
              </w:rPr>
              <w:t>y</w:t>
            </w:r>
            <w:r w:rsidRPr="00965C80">
              <w:rPr>
                <w:rFonts w:ascii="Arial Narrow" w:eastAsia="Arial Narrow" w:hAnsi="Arial Narrow" w:cs="Arial"/>
              </w:rPr>
              <w:t>pes</w:t>
            </w:r>
            <w:r w:rsidRPr="00965C80">
              <w:rPr>
                <w:rFonts w:ascii="Arial Narrow" w:eastAsia="Arial Narrow" w:hAnsi="Arial Narrow" w:cs="Arial"/>
                <w:spacing w:val="1"/>
              </w:rPr>
              <w:t xml:space="preserve"> </w:t>
            </w:r>
            <w:r w:rsidRPr="00965C80">
              <w:rPr>
                <w:rFonts w:ascii="Arial Narrow" w:eastAsia="Arial Narrow" w:hAnsi="Arial Narrow" w:cs="Arial"/>
              </w:rPr>
              <w:t>of</w:t>
            </w:r>
            <w:r w:rsidRPr="00965C80">
              <w:rPr>
                <w:rFonts w:ascii="Arial Narrow" w:eastAsia="Arial Narrow" w:hAnsi="Arial Narrow" w:cs="Arial"/>
                <w:spacing w:val="-2"/>
              </w:rPr>
              <w:t xml:space="preserve"> </w:t>
            </w:r>
            <w:r w:rsidRPr="00965C80">
              <w:rPr>
                <w:rFonts w:ascii="Arial Narrow" w:eastAsia="Arial Narrow" w:hAnsi="Arial Narrow" w:cs="Arial"/>
              </w:rPr>
              <w:t>resea</w:t>
            </w:r>
            <w:r w:rsidRPr="00965C80">
              <w:rPr>
                <w:rFonts w:ascii="Arial Narrow" w:eastAsia="Arial Narrow" w:hAnsi="Arial Narrow" w:cs="Arial"/>
                <w:spacing w:val="-2"/>
              </w:rPr>
              <w:t>r</w:t>
            </w:r>
            <w:r w:rsidRPr="00965C80">
              <w:rPr>
                <w:rFonts w:ascii="Arial Narrow" w:eastAsia="Arial Narrow" w:hAnsi="Arial Narrow" w:cs="Arial"/>
              </w:rPr>
              <w:t>ch</w:t>
            </w:r>
            <w:r w:rsidRPr="00965C80">
              <w:rPr>
                <w:rFonts w:ascii="Arial Narrow" w:eastAsia="Arial Narrow" w:hAnsi="Arial Narrow" w:cs="Arial"/>
                <w:spacing w:val="1"/>
              </w:rPr>
              <w:t xml:space="preserve"> </w:t>
            </w:r>
            <w:r w:rsidRPr="00965C80">
              <w:rPr>
                <w:rFonts w:ascii="Arial Narrow" w:eastAsia="Arial Narrow" w:hAnsi="Arial Narrow" w:cs="Arial"/>
                <w:spacing w:val="-2"/>
              </w:rPr>
              <w:t>a</w:t>
            </w:r>
            <w:r w:rsidRPr="00965C80">
              <w:rPr>
                <w:rFonts w:ascii="Arial Narrow" w:eastAsia="Arial Narrow" w:hAnsi="Arial Narrow" w:cs="Arial"/>
              </w:rPr>
              <w:t>nd/or par</w:t>
            </w:r>
            <w:r w:rsidRPr="00965C80">
              <w:rPr>
                <w:rFonts w:ascii="Arial Narrow" w:eastAsia="Arial Narrow" w:hAnsi="Arial Narrow" w:cs="Arial"/>
                <w:spacing w:val="-3"/>
              </w:rPr>
              <w:t>t</w:t>
            </w:r>
            <w:r w:rsidRPr="00965C80">
              <w:rPr>
                <w:rFonts w:ascii="Arial Narrow" w:eastAsia="Arial Narrow" w:hAnsi="Arial Narrow" w:cs="Arial"/>
              </w:rPr>
              <w:t>i</w:t>
            </w:r>
            <w:r w:rsidRPr="00965C80">
              <w:rPr>
                <w:rFonts w:ascii="Arial Narrow" w:eastAsia="Arial Narrow" w:hAnsi="Arial Narrow" w:cs="Arial"/>
                <w:spacing w:val="1"/>
              </w:rPr>
              <w:t>c</w:t>
            </w:r>
            <w:r w:rsidRPr="00965C80">
              <w:rPr>
                <w:rFonts w:ascii="Arial Narrow" w:eastAsia="Arial Narrow" w:hAnsi="Arial Narrow" w:cs="Arial"/>
              </w:rPr>
              <w:t>i</w:t>
            </w:r>
            <w:r w:rsidRPr="00965C80">
              <w:rPr>
                <w:rFonts w:ascii="Arial Narrow" w:eastAsia="Arial Narrow" w:hAnsi="Arial Narrow" w:cs="Arial"/>
                <w:spacing w:val="-2"/>
              </w:rPr>
              <w:t>p</w:t>
            </w:r>
            <w:r w:rsidRPr="00965C80">
              <w:rPr>
                <w:rFonts w:ascii="Arial Narrow" w:eastAsia="Arial Narrow" w:hAnsi="Arial Narrow" w:cs="Arial"/>
              </w:rPr>
              <w:t>ants and/or approaches to consent, it wi</w:t>
            </w:r>
            <w:r w:rsidRPr="00965C80">
              <w:rPr>
                <w:rFonts w:ascii="Arial Narrow" w:eastAsia="Arial Narrow" w:hAnsi="Arial Narrow" w:cs="Arial"/>
                <w:spacing w:val="-2"/>
              </w:rPr>
              <w:t>l</w:t>
            </w:r>
            <w:r w:rsidRPr="00965C80">
              <w:rPr>
                <w:rFonts w:ascii="Arial Narrow" w:eastAsia="Arial Narrow" w:hAnsi="Arial Narrow" w:cs="Arial"/>
              </w:rPr>
              <w:t>l requ</w:t>
            </w:r>
            <w:r w:rsidRPr="00965C80">
              <w:rPr>
                <w:rFonts w:ascii="Arial Narrow" w:eastAsia="Arial Narrow" w:hAnsi="Arial Narrow" w:cs="Arial"/>
                <w:spacing w:val="1"/>
              </w:rPr>
              <w:t>i</w:t>
            </w:r>
            <w:r w:rsidRPr="00965C80">
              <w:rPr>
                <w:rFonts w:ascii="Arial Narrow" w:eastAsia="Arial Narrow" w:hAnsi="Arial Narrow" w:cs="Arial"/>
                <w:spacing w:val="-3"/>
              </w:rPr>
              <w:t>r</w:t>
            </w:r>
            <w:r w:rsidRPr="00965C80">
              <w:rPr>
                <w:rFonts w:ascii="Arial Narrow" w:eastAsia="Arial Narrow" w:hAnsi="Arial Narrow" w:cs="Arial"/>
              </w:rPr>
              <w:t>e</w:t>
            </w:r>
            <w:r w:rsidRPr="00965C80">
              <w:rPr>
                <w:rFonts w:ascii="Arial Narrow" w:eastAsia="Arial Narrow" w:hAnsi="Arial Narrow" w:cs="Arial"/>
                <w:spacing w:val="2"/>
              </w:rPr>
              <w:t xml:space="preserve"> </w:t>
            </w:r>
            <w:r w:rsidRPr="00965C80">
              <w:rPr>
                <w:rFonts w:ascii="Arial Narrow" w:eastAsia="Arial Narrow" w:hAnsi="Arial Narrow" w:cs="Arial"/>
                <w:spacing w:val="-1"/>
              </w:rPr>
              <w:t>HRE</w:t>
            </w:r>
            <w:r w:rsidRPr="00965C80">
              <w:rPr>
                <w:rFonts w:ascii="Arial Narrow" w:eastAsia="Arial Narrow" w:hAnsi="Arial Narrow" w:cs="Arial"/>
              </w:rPr>
              <w:t>C</w:t>
            </w:r>
            <w:r w:rsidRPr="00965C80">
              <w:rPr>
                <w:rFonts w:ascii="Arial Narrow" w:eastAsia="Arial Narrow" w:hAnsi="Arial Narrow" w:cs="Arial"/>
                <w:spacing w:val="-1"/>
              </w:rPr>
              <w:t xml:space="preserve"> </w:t>
            </w:r>
            <w:r w:rsidRPr="00965C80">
              <w:rPr>
                <w:rFonts w:ascii="Arial Narrow" w:eastAsia="Arial Narrow" w:hAnsi="Arial Narrow" w:cs="Arial"/>
              </w:rPr>
              <w:t>rev</w:t>
            </w:r>
            <w:r w:rsidRPr="00965C80">
              <w:rPr>
                <w:rFonts w:ascii="Arial Narrow" w:eastAsia="Arial Narrow" w:hAnsi="Arial Narrow" w:cs="Arial"/>
                <w:spacing w:val="1"/>
              </w:rPr>
              <w:t>i</w:t>
            </w:r>
            <w:r w:rsidRPr="00965C80">
              <w:rPr>
                <w:rFonts w:ascii="Arial Narrow" w:eastAsia="Arial Narrow" w:hAnsi="Arial Narrow" w:cs="Arial"/>
              </w:rPr>
              <w:t>ew</w:t>
            </w:r>
            <w:r w:rsidRPr="00965C80">
              <w:rPr>
                <w:rStyle w:val="FootnoteReference"/>
                <w:rFonts w:ascii="Arial Narrow" w:eastAsia="Arial Narrow" w:hAnsi="Arial Narrow" w:cs="Arial"/>
              </w:rPr>
              <w:footnoteReference w:id="1"/>
            </w:r>
            <w:r w:rsidRPr="00965C80">
              <w:rPr>
                <w:rFonts w:ascii="Arial Narrow" w:eastAsia="Arial Narrow" w:hAnsi="Arial Narrow" w:cs="Arial"/>
              </w:rPr>
              <w:t xml:space="preserve"> regardl</w:t>
            </w:r>
            <w:r w:rsidRPr="00965C80">
              <w:rPr>
                <w:rFonts w:ascii="Arial Narrow" w:eastAsia="Arial Narrow" w:hAnsi="Arial Narrow" w:cs="Arial"/>
                <w:spacing w:val="-2"/>
              </w:rPr>
              <w:t>e</w:t>
            </w:r>
            <w:r w:rsidRPr="00965C80">
              <w:rPr>
                <w:rFonts w:ascii="Arial Narrow" w:eastAsia="Arial Narrow" w:hAnsi="Arial Narrow" w:cs="Arial"/>
              </w:rPr>
              <w:t>ss</w:t>
            </w:r>
            <w:r w:rsidRPr="00965C80">
              <w:rPr>
                <w:rFonts w:ascii="Arial Narrow" w:eastAsia="Arial Narrow" w:hAnsi="Arial Narrow" w:cs="Arial"/>
                <w:spacing w:val="-2"/>
              </w:rPr>
              <w:t xml:space="preserve"> </w:t>
            </w:r>
            <w:r w:rsidRPr="00965C80">
              <w:rPr>
                <w:rFonts w:ascii="Arial Narrow" w:eastAsia="Arial Narrow" w:hAnsi="Arial Narrow" w:cs="Arial"/>
              </w:rPr>
              <w:t>of t</w:t>
            </w:r>
            <w:r w:rsidRPr="00965C80">
              <w:rPr>
                <w:rFonts w:ascii="Arial Narrow" w:eastAsia="Arial Narrow" w:hAnsi="Arial Narrow" w:cs="Arial"/>
                <w:spacing w:val="-2"/>
              </w:rPr>
              <w:t>h</w:t>
            </w:r>
            <w:r w:rsidRPr="00965C80">
              <w:rPr>
                <w:rFonts w:ascii="Arial Narrow" w:eastAsia="Arial Narrow" w:hAnsi="Arial Narrow" w:cs="Arial"/>
              </w:rPr>
              <w:t>e level</w:t>
            </w:r>
            <w:r w:rsidRPr="00965C80">
              <w:rPr>
                <w:rFonts w:ascii="Arial Narrow" w:eastAsia="Arial Narrow" w:hAnsi="Arial Narrow" w:cs="Arial"/>
                <w:spacing w:val="-2"/>
              </w:rPr>
              <w:t xml:space="preserve"> </w:t>
            </w:r>
            <w:r w:rsidRPr="00965C80">
              <w:rPr>
                <w:rFonts w:ascii="Arial Narrow" w:eastAsia="Arial Narrow" w:hAnsi="Arial Narrow" w:cs="Arial"/>
              </w:rPr>
              <w:t>of r</w:t>
            </w:r>
            <w:r w:rsidRPr="00965C80">
              <w:rPr>
                <w:rFonts w:ascii="Arial Narrow" w:eastAsia="Arial Narrow" w:hAnsi="Arial Narrow" w:cs="Arial"/>
                <w:spacing w:val="-2"/>
              </w:rPr>
              <w:t>i</w:t>
            </w:r>
            <w:r w:rsidRPr="00965C80">
              <w:rPr>
                <w:rFonts w:ascii="Arial Narrow" w:eastAsia="Arial Narrow" w:hAnsi="Arial Narrow" w:cs="Arial"/>
              </w:rPr>
              <w:t>s</w:t>
            </w:r>
            <w:r w:rsidRPr="00965C80">
              <w:rPr>
                <w:rFonts w:ascii="Arial Narrow" w:eastAsia="Arial Narrow" w:hAnsi="Arial Narrow" w:cs="Arial"/>
                <w:spacing w:val="2"/>
              </w:rPr>
              <w:t>k</w:t>
            </w:r>
            <w:r w:rsidRPr="00965C80">
              <w:rPr>
                <w:rFonts w:ascii="Arial Narrow" w:eastAsia="Arial Narrow" w:hAnsi="Arial Narrow" w:cs="Arial"/>
              </w:rPr>
              <w:t>:</w:t>
            </w:r>
          </w:p>
          <w:p w14:paraId="298C47F8" w14:textId="77777777" w:rsidR="003509F6" w:rsidRPr="00965C80" w:rsidRDefault="003509F6" w:rsidP="00507757">
            <w:pPr>
              <w:pStyle w:val="ListParagraph"/>
              <w:keepLines w:val="0"/>
              <w:widowControl w:val="0"/>
              <w:numPr>
                <w:ilvl w:val="0"/>
                <w:numId w:val="10"/>
              </w:numPr>
              <w:tabs>
                <w:tab w:val="clear" w:pos="567"/>
                <w:tab w:val="left" w:pos="1340"/>
              </w:tabs>
              <w:spacing w:before="120" w:after="120"/>
              <w:ind w:left="360" w:right="-20"/>
              <w:contextualSpacing w:val="0"/>
              <w:rPr>
                <w:rFonts w:ascii="Arial Narrow" w:hAnsi="Arial Narrow" w:cs="Arial"/>
              </w:rPr>
            </w:pPr>
            <w:r w:rsidRPr="00965C80">
              <w:rPr>
                <w:rFonts w:ascii="Arial Narrow" w:hAnsi="Arial Narrow" w:cs="Arial"/>
              </w:rPr>
              <w:t>Waiver of consent (2.3.9 – 2.3.10)</w:t>
            </w:r>
            <w:r>
              <w:rPr>
                <w:rFonts w:ascii="Arial Narrow" w:hAnsi="Arial Narrow" w:cs="Arial"/>
              </w:rPr>
              <w:t xml:space="preserve"> for research using personal information in medical research, or personal health information</w:t>
            </w:r>
            <w:r w:rsidRPr="00965C80">
              <w:rPr>
                <w:rFonts w:ascii="Arial Narrow" w:hAnsi="Arial Narrow" w:cs="Arial"/>
              </w:rPr>
              <w:t>, including:</w:t>
            </w:r>
          </w:p>
          <w:p w14:paraId="05B1B4DD" w14:textId="77777777" w:rsidR="003509F6" w:rsidRPr="00705F76" w:rsidRDefault="003509F6" w:rsidP="00507757">
            <w:pPr>
              <w:pStyle w:val="ListParagraph"/>
              <w:keepLines w:val="0"/>
              <w:widowControl w:val="0"/>
              <w:numPr>
                <w:ilvl w:val="0"/>
                <w:numId w:val="12"/>
              </w:numPr>
              <w:tabs>
                <w:tab w:val="clear" w:pos="567"/>
                <w:tab w:val="left" w:pos="1340"/>
              </w:tabs>
              <w:spacing w:before="120" w:after="120"/>
              <w:ind w:left="720" w:right="-20"/>
              <w:contextualSpacing w:val="0"/>
              <w:rPr>
                <w:rFonts w:ascii="Arial Narrow" w:hAnsi="Arial Narrow" w:cs="Arial"/>
              </w:rPr>
            </w:pPr>
            <w:r w:rsidRPr="00705F76">
              <w:rPr>
                <w:rFonts w:ascii="Arial Narrow" w:hAnsi="Arial Narrow" w:cs="Arial"/>
              </w:rPr>
              <w:t>Use of human b</w:t>
            </w:r>
            <w:r w:rsidRPr="00705F76">
              <w:rPr>
                <w:rFonts w:ascii="Arial Narrow" w:hAnsi="Arial Narrow" w:cs="Arial"/>
                <w:shd w:val="clear" w:color="auto" w:fill="DBE5F1" w:themeFill="accent1" w:themeFillTint="33"/>
              </w:rPr>
              <w:t>iospecimen</w:t>
            </w:r>
            <w:r w:rsidRPr="00705F76">
              <w:rPr>
                <w:rFonts w:ascii="Arial Narrow" w:hAnsi="Arial Narrow" w:cs="Arial"/>
              </w:rPr>
              <w:t>s obtained without specific consent for their use in research, or where the proposed research is not consistent with the scope of the original consent (3.2.14)</w:t>
            </w:r>
          </w:p>
          <w:p w14:paraId="0D742581" w14:textId="77777777" w:rsidR="003509F6" w:rsidRPr="00705F76" w:rsidRDefault="003509F6" w:rsidP="00507757">
            <w:pPr>
              <w:pStyle w:val="ListParagraph"/>
              <w:keepLines w:val="0"/>
              <w:widowControl w:val="0"/>
              <w:numPr>
                <w:ilvl w:val="0"/>
                <w:numId w:val="12"/>
              </w:numPr>
              <w:tabs>
                <w:tab w:val="clear" w:pos="567"/>
                <w:tab w:val="left" w:pos="1340"/>
              </w:tabs>
              <w:spacing w:before="120" w:after="120"/>
              <w:ind w:left="720" w:right="-20"/>
              <w:contextualSpacing w:val="0"/>
              <w:rPr>
                <w:rFonts w:ascii="Arial Narrow" w:hAnsi="Arial Narrow" w:cs="Arial"/>
              </w:rPr>
            </w:pPr>
            <w:r w:rsidRPr="00705F76">
              <w:rPr>
                <w:rFonts w:ascii="Arial Narrow" w:hAnsi="Arial Narrow" w:cs="Arial"/>
              </w:rPr>
              <w:t>Genomic research (3.3.14)</w:t>
            </w:r>
          </w:p>
          <w:p w14:paraId="3BCF8793" w14:textId="77777777" w:rsidR="003509F6" w:rsidRPr="00965C80" w:rsidRDefault="003509F6" w:rsidP="00507757">
            <w:pPr>
              <w:pStyle w:val="ListParagraph"/>
              <w:keepLines w:val="0"/>
              <w:widowControl w:val="0"/>
              <w:numPr>
                <w:ilvl w:val="0"/>
                <w:numId w:val="12"/>
              </w:numPr>
              <w:tabs>
                <w:tab w:val="clear" w:pos="567"/>
                <w:tab w:val="left" w:pos="1340"/>
              </w:tabs>
              <w:spacing w:before="120" w:after="120"/>
              <w:ind w:left="720" w:right="-20"/>
              <w:contextualSpacing w:val="0"/>
              <w:rPr>
                <w:rFonts w:ascii="Arial Narrow" w:hAnsi="Arial Narrow" w:cs="Arial"/>
              </w:rPr>
            </w:pPr>
            <w:r w:rsidRPr="00965C80">
              <w:rPr>
                <w:rFonts w:ascii="Arial Narrow" w:hAnsi="Arial Narrow" w:cs="Arial"/>
              </w:rPr>
              <w:t>The sharing of genomic data or information (3.3.24b)</w:t>
            </w:r>
          </w:p>
          <w:p w14:paraId="2390F7B5" w14:textId="77777777" w:rsidR="003509F6" w:rsidRPr="00965C80" w:rsidRDefault="003509F6" w:rsidP="00507757">
            <w:pPr>
              <w:pStyle w:val="ListParagraph"/>
              <w:keepLines w:val="0"/>
              <w:widowControl w:val="0"/>
              <w:numPr>
                <w:ilvl w:val="0"/>
                <w:numId w:val="12"/>
              </w:numPr>
              <w:tabs>
                <w:tab w:val="clear" w:pos="567"/>
                <w:tab w:val="left" w:pos="1340"/>
              </w:tabs>
              <w:spacing w:before="120" w:after="120"/>
              <w:ind w:left="720" w:right="-20"/>
              <w:contextualSpacing w:val="0"/>
              <w:rPr>
                <w:rFonts w:ascii="Arial Narrow" w:hAnsi="Arial Narrow" w:cs="Arial"/>
              </w:rPr>
            </w:pPr>
            <w:r w:rsidRPr="00965C80">
              <w:rPr>
                <w:rFonts w:ascii="Arial Narrow" w:hAnsi="Arial Narrow" w:cs="Arial"/>
              </w:rPr>
              <w:t>Emergency care research (4.4.6)</w:t>
            </w:r>
          </w:p>
          <w:p w14:paraId="0B7BA469" w14:textId="77777777" w:rsidR="003509F6" w:rsidRPr="00965C80" w:rsidRDefault="003509F6" w:rsidP="00507757">
            <w:pPr>
              <w:pStyle w:val="NoSpacing"/>
              <w:numPr>
                <w:ilvl w:val="0"/>
                <w:numId w:val="10"/>
              </w:numPr>
              <w:spacing w:before="120" w:after="120" w:line="300" w:lineRule="atLeast"/>
              <w:ind w:left="360"/>
              <w:rPr>
                <w:rFonts w:ascii="Arial Narrow" w:hAnsi="Arial Narrow" w:cs="Arial"/>
              </w:rPr>
            </w:pPr>
            <w:r w:rsidRPr="00965C80">
              <w:rPr>
                <w:rFonts w:ascii="Arial Narrow" w:hAnsi="Arial Narrow" w:cs="Arial"/>
              </w:rPr>
              <w:t xml:space="preserve">Research involving the derivation of embryonic stem cell lines or other products from a human embryo (3.2) </w:t>
            </w:r>
          </w:p>
          <w:p w14:paraId="215F18D4" w14:textId="77777777" w:rsidR="003509F6" w:rsidRPr="00965C80" w:rsidRDefault="003509F6" w:rsidP="00507757">
            <w:pPr>
              <w:pStyle w:val="NoSpacing"/>
              <w:numPr>
                <w:ilvl w:val="0"/>
                <w:numId w:val="10"/>
              </w:numPr>
              <w:spacing w:before="120" w:after="120" w:line="300" w:lineRule="atLeast"/>
              <w:ind w:left="360"/>
              <w:rPr>
                <w:rFonts w:ascii="Arial Narrow" w:hAnsi="Arial Narrow" w:cs="Arial"/>
              </w:rPr>
            </w:pPr>
            <w:r w:rsidRPr="00965C80">
              <w:rPr>
                <w:rFonts w:ascii="Arial Narrow" w:hAnsi="Arial Narrow" w:cs="Arial"/>
              </w:rPr>
              <w:t xml:space="preserve">Research involving </w:t>
            </w:r>
            <w:r w:rsidRPr="00965C80">
              <w:rPr>
                <w:rFonts w:ascii="Arial Narrow" w:hAnsi="Arial Narrow" w:cs="Arial"/>
                <w:b/>
                <w:i/>
              </w:rPr>
              <w:t>prospective collection</w:t>
            </w:r>
            <w:r w:rsidRPr="00965C80">
              <w:rPr>
                <w:rFonts w:ascii="Arial Narrow" w:hAnsi="Arial Narrow" w:cs="Arial"/>
              </w:rPr>
              <w:t xml:space="preserve"> of human biospecimens including establishment of a biobank (3.2.1)</w:t>
            </w:r>
          </w:p>
          <w:p w14:paraId="584837D5" w14:textId="77777777" w:rsidR="003509F6" w:rsidRPr="00965C80" w:rsidRDefault="003509F6" w:rsidP="00507757">
            <w:pPr>
              <w:pStyle w:val="NoSpacing"/>
              <w:numPr>
                <w:ilvl w:val="0"/>
                <w:numId w:val="10"/>
              </w:numPr>
              <w:spacing w:before="120" w:after="120" w:line="300" w:lineRule="atLeast"/>
              <w:ind w:left="360"/>
              <w:rPr>
                <w:rFonts w:ascii="Arial Narrow" w:hAnsi="Arial Narrow" w:cs="Arial"/>
              </w:rPr>
            </w:pPr>
            <w:r w:rsidRPr="00965C80">
              <w:rPr>
                <w:rFonts w:ascii="Arial Narrow" w:hAnsi="Arial Narrow" w:cs="Arial"/>
              </w:rPr>
              <w:t>Exportation of bio-specimens for research in accordance with institutional policy (3.2.9 b)</w:t>
            </w:r>
          </w:p>
          <w:p w14:paraId="6592D6C5" w14:textId="77777777" w:rsidR="003509F6" w:rsidRPr="00965C80" w:rsidRDefault="003509F6" w:rsidP="00507757">
            <w:pPr>
              <w:pStyle w:val="NoSpacing"/>
              <w:numPr>
                <w:ilvl w:val="0"/>
                <w:numId w:val="10"/>
              </w:numPr>
              <w:spacing w:before="120" w:after="120" w:line="300" w:lineRule="atLeast"/>
              <w:ind w:left="360"/>
              <w:rPr>
                <w:rFonts w:ascii="Arial Narrow" w:hAnsi="Arial Narrow" w:cs="Arial"/>
              </w:rPr>
            </w:pPr>
            <w:r w:rsidRPr="00965C80">
              <w:rPr>
                <w:rFonts w:ascii="Arial Narrow" w:hAnsi="Arial Narrow" w:cs="Arial"/>
              </w:rPr>
              <w:t>Research involving the</w:t>
            </w:r>
            <w:r w:rsidRPr="00965C80">
              <w:rPr>
                <w:rFonts w:ascii="Arial Narrow" w:hAnsi="Arial Narrow" w:cs="Arial"/>
                <w:b/>
                <w:i/>
              </w:rPr>
              <w:t xml:space="preserve"> use</w:t>
            </w:r>
            <w:r w:rsidRPr="00965C80">
              <w:rPr>
                <w:rFonts w:ascii="Arial Narrow" w:hAnsi="Arial Narrow" w:cs="Arial"/>
              </w:rPr>
              <w:t xml:space="preserve"> of human bio-specimens that may give rise to information that may be important for the health of the donors, their </w:t>
            </w:r>
            <w:proofErr w:type="gramStart"/>
            <w:r w:rsidRPr="00965C80">
              <w:rPr>
                <w:rFonts w:ascii="Arial Narrow" w:hAnsi="Arial Narrow" w:cs="Arial"/>
              </w:rPr>
              <w:t>relatives</w:t>
            </w:r>
            <w:proofErr w:type="gramEnd"/>
            <w:r w:rsidRPr="00965C80">
              <w:rPr>
                <w:rFonts w:ascii="Arial Narrow" w:hAnsi="Arial Narrow" w:cs="Arial"/>
              </w:rPr>
              <w:t xml:space="preserve"> or their community (3.2.15)</w:t>
            </w:r>
          </w:p>
          <w:p w14:paraId="4D462F17" w14:textId="77777777" w:rsidR="003509F6" w:rsidRPr="00965C80" w:rsidRDefault="003509F6" w:rsidP="00507757">
            <w:pPr>
              <w:pStyle w:val="NoSpacing"/>
              <w:numPr>
                <w:ilvl w:val="0"/>
                <w:numId w:val="10"/>
              </w:numPr>
              <w:spacing w:before="120" w:after="120" w:line="300" w:lineRule="atLeast"/>
              <w:ind w:left="360"/>
              <w:rPr>
                <w:rFonts w:ascii="Arial Narrow" w:hAnsi="Arial Narrow" w:cs="Arial"/>
              </w:rPr>
            </w:pPr>
            <w:r w:rsidRPr="00965C80">
              <w:rPr>
                <w:rFonts w:ascii="Arial Narrow" w:hAnsi="Arial Narrow" w:cs="Arial"/>
              </w:rPr>
              <w:t xml:space="preserve">Research including genomics (3.3) </w:t>
            </w:r>
            <w:r w:rsidRPr="00965C80">
              <w:rPr>
                <w:rFonts w:ascii="Arial Narrow" w:hAnsi="Arial Narrow" w:cs="Arial"/>
                <w:vertAlign w:val="superscript"/>
              </w:rPr>
              <w:t xml:space="preserve">† </w:t>
            </w:r>
            <w:r w:rsidRPr="00965C80">
              <w:rPr>
                <w:rFonts w:ascii="Arial Narrow" w:hAnsi="Arial Narrow" w:cs="Arial"/>
              </w:rPr>
              <w:t xml:space="preserve"> </w:t>
            </w:r>
          </w:p>
          <w:p w14:paraId="188951EF" w14:textId="77777777" w:rsidR="003509F6" w:rsidRPr="00965C80" w:rsidRDefault="003509F6" w:rsidP="00507757">
            <w:pPr>
              <w:pStyle w:val="NoSpacing"/>
              <w:numPr>
                <w:ilvl w:val="0"/>
                <w:numId w:val="10"/>
              </w:numPr>
              <w:spacing w:before="120" w:after="120" w:line="300" w:lineRule="atLeast"/>
              <w:ind w:left="360"/>
              <w:rPr>
                <w:rFonts w:ascii="Arial Narrow" w:hAnsi="Arial Narrow" w:cs="Arial"/>
              </w:rPr>
            </w:pPr>
            <w:r w:rsidRPr="00965C80">
              <w:rPr>
                <w:rFonts w:ascii="Arial Narrow" w:hAnsi="Arial Narrow" w:cs="Arial"/>
              </w:rPr>
              <w:t>Animal-to-human xenotransplantation (3.4) ‡</w:t>
            </w:r>
          </w:p>
          <w:p w14:paraId="671909B9" w14:textId="77777777" w:rsidR="003509F6" w:rsidRPr="00965C80" w:rsidRDefault="003509F6" w:rsidP="00507757">
            <w:pPr>
              <w:pStyle w:val="NoSpacing"/>
              <w:numPr>
                <w:ilvl w:val="0"/>
                <w:numId w:val="10"/>
              </w:numPr>
              <w:spacing w:before="120" w:after="120" w:line="300" w:lineRule="atLeast"/>
              <w:ind w:left="360"/>
              <w:rPr>
                <w:rFonts w:ascii="Arial Narrow" w:hAnsi="Arial Narrow" w:cs="Arial"/>
              </w:rPr>
            </w:pPr>
            <w:r w:rsidRPr="00965C80">
              <w:rPr>
                <w:rFonts w:ascii="Arial Narrow" w:hAnsi="Arial Narrow" w:cs="Arial"/>
              </w:rPr>
              <w:t>Research on women who are pregnant, research on the human foetus in utero, and research on the separated human foetus or on foetal tissue (</w:t>
            </w:r>
            <w:proofErr w:type="gramStart"/>
            <w:r w:rsidRPr="00965C80">
              <w:rPr>
                <w:rFonts w:ascii="Arial Narrow" w:hAnsi="Arial Narrow" w:cs="Arial"/>
              </w:rPr>
              <w:t>4.1)*</w:t>
            </w:r>
            <w:proofErr w:type="gramEnd"/>
          </w:p>
          <w:p w14:paraId="4696FE7C" w14:textId="77777777" w:rsidR="003509F6" w:rsidRPr="00965C80" w:rsidRDefault="003509F6" w:rsidP="00507757">
            <w:pPr>
              <w:pStyle w:val="NoSpacing"/>
              <w:numPr>
                <w:ilvl w:val="0"/>
                <w:numId w:val="10"/>
              </w:numPr>
              <w:spacing w:before="120" w:after="120" w:line="300" w:lineRule="atLeast"/>
              <w:ind w:left="360"/>
              <w:rPr>
                <w:rFonts w:ascii="Arial Narrow" w:hAnsi="Arial Narrow" w:cs="Arial"/>
              </w:rPr>
            </w:pPr>
            <w:r w:rsidRPr="00965C80">
              <w:rPr>
                <w:rFonts w:ascii="Arial Narrow" w:hAnsi="Arial Narrow" w:cs="Arial"/>
              </w:rPr>
              <w:t>Research involving people highly dependent on medical care who may be unable to give consent (</w:t>
            </w:r>
            <w:proofErr w:type="gramStart"/>
            <w:r w:rsidRPr="00965C80">
              <w:rPr>
                <w:rFonts w:ascii="Arial Narrow" w:hAnsi="Arial Narrow" w:cs="Arial"/>
              </w:rPr>
              <w:t>4.4)*</w:t>
            </w:r>
            <w:proofErr w:type="gramEnd"/>
          </w:p>
          <w:p w14:paraId="29ADB3B0" w14:textId="77777777" w:rsidR="003509F6" w:rsidRPr="00965C80" w:rsidRDefault="003509F6" w:rsidP="00507757">
            <w:pPr>
              <w:pStyle w:val="NoSpacing"/>
              <w:numPr>
                <w:ilvl w:val="0"/>
                <w:numId w:val="10"/>
              </w:numPr>
              <w:spacing w:before="120" w:after="120" w:line="300" w:lineRule="atLeast"/>
              <w:ind w:left="360"/>
              <w:rPr>
                <w:rFonts w:ascii="Arial Narrow" w:hAnsi="Arial Narrow" w:cs="Arial"/>
              </w:rPr>
            </w:pPr>
            <w:r w:rsidRPr="00965C80">
              <w:rPr>
                <w:rFonts w:ascii="Arial Narrow" w:hAnsi="Arial Narrow" w:cs="Arial"/>
              </w:rPr>
              <w:t>Research involving people with a cognitive impairment, an intellectual disability or a mental illness (</w:t>
            </w:r>
            <w:proofErr w:type="gramStart"/>
            <w:r w:rsidRPr="00965C80">
              <w:rPr>
                <w:rFonts w:ascii="Arial Narrow" w:hAnsi="Arial Narrow" w:cs="Arial"/>
              </w:rPr>
              <w:t>4.5)*</w:t>
            </w:r>
            <w:proofErr w:type="gramEnd"/>
          </w:p>
          <w:p w14:paraId="07D33C36" w14:textId="77777777" w:rsidR="003509F6" w:rsidRPr="00965C80" w:rsidRDefault="003509F6" w:rsidP="00507757">
            <w:pPr>
              <w:keepLines w:val="0"/>
              <w:numPr>
                <w:ilvl w:val="0"/>
                <w:numId w:val="9"/>
              </w:numPr>
              <w:tabs>
                <w:tab w:val="clear" w:pos="567"/>
              </w:tabs>
              <w:spacing w:before="120" w:after="120"/>
              <w:ind w:left="360"/>
              <w:rPr>
                <w:rFonts w:ascii="Arial Narrow" w:hAnsi="Arial Narrow" w:cs="Arial"/>
              </w:rPr>
            </w:pPr>
            <w:r w:rsidRPr="00965C80">
              <w:rPr>
                <w:rFonts w:ascii="Arial Narrow" w:hAnsi="Arial Narrow" w:cs="Arial"/>
              </w:rPr>
              <w:t>Research that is intended to study or expose, or is likely to discover, illegal activity (</w:t>
            </w:r>
            <w:proofErr w:type="gramStart"/>
            <w:r w:rsidRPr="00965C80">
              <w:rPr>
                <w:rFonts w:ascii="Arial Narrow" w:hAnsi="Arial Narrow" w:cs="Arial"/>
              </w:rPr>
              <w:t>4.6)*</w:t>
            </w:r>
            <w:proofErr w:type="gramEnd"/>
          </w:p>
          <w:p w14:paraId="4DB98BDA" w14:textId="77777777" w:rsidR="003509F6" w:rsidRPr="00965C80" w:rsidRDefault="003509F6" w:rsidP="00507757">
            <w:pPr>
              <w:keepLines w:val="0"/>
              <w:numPr>
                <w:ilvl w:val="0"/>
                <w:numId w:val="9"/>
              </w:numPr>
              <w:tabs>
                <w:tab w:val="clear" w:pos="567"/>
              </w:tabs>
              <w:spacing w:before="120" w:after="120"/>
              <w:ind w:left="360"/>
              <w:rPr>
                <w:rFonts w:ascii="Arial Narrow" w:hAnsi="Arial Narrow" w:cs="Arial"/>
              </w:rPr>
            </w:pPr>
            <w:r w:rsidRPr="00965C80">
              <w:rPr>
                <w:rFonts w:ascii="Arial Narrow" w:hAnsi="Arial Narrow" w:cs="Arial"/>
              </w:rPr>
              <w:t>Research with Aboriginal and Torres Strait Islander Peoples (4.7)</w:t>
            </w:r>
          </w:p>
          <w:p w14:paraId="623718CA" w14:textId="77777777" w:rsidR="003509F6" w:rsidRPr="00965C80" w:rsidRDefault="003509F6" w:rsidP="00507757">
            <w:pPr>
              <w:pStyle w:val="NoSpacing"/>
              <w:spacing w:before="120" w:after="120" w:line="300" w:lineRule="atLeast"/>
              <w:rPr>
                <w:rFonts w:ascii="Arial Narrow" w:hAnsi="Arial Narrow" w:cs="Arial"/>
              </w:rPr>
            </w:pPr>
            <w:r w:rsidRPr="00965C80">
              <w:rPr>
                <w:rFonts w:ascii="Arial Narrow" w:hAnsi="Arial Narrow" w:cs="Arial"/>
                <w:i/>
              </w:rPr>
              <w:t>† As</w:t>
            </w:r>
            <w:r w:rsidRPr="00965C80">
              <w:rPr>
                <w:rFonts w:ascii="Arial Narrow" w:hAnsi="Arial Narrow" w:cs="Arial"/>
              </w:rPr>
              <w:t xml:space="preserve"> a general principle, research including genomics will require review by an HREC; however, if no information that can identify an individual is used and no linkage of data is planned, the research may be determined to carry low risk (3.3).</w:t>
            </w:r>
          </w:p>
          <w:p w14:paraId="76BEDB1D" w14:textId="77777777" w:rsidR="003509F6" w:rsidRPr="00965C80" w:rsidRDefault="003509F6" w:rsidP="00507757">
            <w:pPr>
              <w:pStyle w:val="NoSpacing"/>
              <w:spacing w:before="120" w:after="120" w:line="300" w:lineRule="atLeast"/>
              <w:rPr>
                <w:rFonts w:ascii="Arial Narrow" w:hAnsi="Arial Narrow" w:cs="Arial"/>
                <w:i/>
              </w:rPr>
            </w:pPr>
            <w:r w:rsidRPr="00965C80">
              <w:rPr>
                <w:rFonts w:ascii="Arial Narrow" w:hAnsi="Arial Narrow" w:cs="Arial"/>
              </w:rPr>
              <w:t xml:space="preserve">‡ </w:t>
            </w:r>
            <w:r w:rsidRPr="00965C80">
              <w:rPr>
                <w:rFonts w:ascii="Arial Narrow" w:hAnsi="Arial Narrow" w:cs="Arial"/>
                <w:i/>
              </w:rPr>
              <w:t>Xenotransplantation research must also be ethically reviewed and approved by an institutional animal ethics committee.</w:t>
            </w:r>
          </w:p>
          <w:p w14:paraId="12E8F0A8" w14:textId="77777777" w:rsidR="003509F6" w:rsidRPr="00965C80" w:rsidRDefault="003509F6" w:rsidP="00507757">
            <w:pPr>
              <w:pStyle w:val="NoSpacing"/>
              <w:spacing w:before="120" w:after="120" w:line="300" w:lineRule="atLeast"/>
              <w:rPr>
                <w:rFonts w:ascii="Arial Narrow" w:hAnsi="Arial Narrow" w:cs="Arial"/>
                <w:i/>
              </w:rPr>
            </w:pPr>
            <w:r w:rsidRPr="00965C80">
              <w:rPr>
                <w:rStyle w:val="googqs-tidbitgoogqs-tidbit-0"/>
                <w:rFonts w:ascii="Arial Narrow" w:hAnsi="Arial Narrow" w:cs="Arial"/>
                <w:b/>
              </w:rPr>
              <w:t>*</w:t>
            </w:r>
            <w:r w:rsidRPr="00965C80">
              <w:rPr>
                <w:rFonts w:ascii="Arial Narrow" w:hAnsi="Arial Narrow" w:cs="Arial"/>
              </w:rPr>
              <w:t xml:space="preserve"> </w:t>
            </w:r>
            <w:r w:rsidRPr="00965C80">
              <w:rPr>
                <w:rFonts w:ascii="Arial Narrow" w:hAnsi="Arial Narrow" w:cs="Arial"/>
                <w:i/>
              </w:rPr>
              <w:t>Except where that research uses existing collections of data or records that contain only non-identifiable data about human beings and involves negligible risk and which, therefore, may be exempted from ethics review.</w:t>
            </w:r>
          </w:p>
          <w:p w14:paraId="0D652018" w14:textId="77777777" w:rsidR="003509F6" w:rsidRPr="00965C80" w:rsidRDefault="003509F6" w:rsidP="00507757">
            <w:pPr>
              <w:pStyle w:val="NoSpacing"/>
              <w:numPr>
                <w:ilvl w:val="0"/>
                <w:numId w:val="11"/>
              </w:numPr>
              <w:spacing w:before="120" w:after="120" w:line="300" w:lineRule="atLeast"/>
              <w:rPr>
                <w:rStyle w:val="googqs-tidbitgoogqs-tidbit-0"/>
                <w:rFonts w:ascii="Arial Narrow" w:hAnsi="Arial Narrow" w:cs="Arial"/>
                <w:b/>
                <w:color w:val="0070C0"/>
              </w:rPr>
            </w:pPr>
            <w:r w:rsidRPr="00965C80">
              <w:rPr>
                <w:rStyle w:val="googqs-tidbitgoogqs-tidbit-0"/>
                <w:rFonts w:ascii="Arial Narrow" w:hAnsi="Arial Narrow" w:cs="Arial"/>
                <w:b/>
                <w:color w:val="0070C0"/>
              </w:rPr>
              <w:t>Projects that may</w:t>
            </w:r>
            <w:r w:rsidRPr="00705F76">
              <w:rPr>
                <w:rStyle w:val="googqs-tidbitgoogqs-tidbit-0"/>
                <w:rFonts w:ascii="Arial Narrow" w:hAnsi="Arial Narrow" w:cs="Arial"/>
                <w:b/>
                <w:color w:val="0070C0"/>
                <w:vertAlign w:val="superscript"/>
              </w:rPr>
              <w:t>2</w:t>
            </w:r>
            <w:r w:rsidRPr="00965C80">
              <w:rPr>
                <w:rStyle w:val="googqs-tidbitgoogqs-tidbit-0"/>
                <w:rFonts w:ascii="Arial Narrow" w:hAnsi="Arial Narrow" w:cs="Arial"/>
                <w:b/>
                <w:color w:val="0070C0"/>
              </w:rPr>
              <w:t xml:space="preserve"> be suitable for review by ‘other ethics review bodies’/non-HREC levels of ethics review dependent on the context of the </w:t>
            </w:r>
            <w:proofErr w:type="gramStart"/>
            <w:r w:rsidRPr="00965C80">
              <w:rPr>
                <w:rStyle w:val="googqs-tidbitgoogqs-tidbit-0"/>
                <w:rFonts w:ascii="Arial Narrow" w:hAnsi="Arial Narrow" w:cs="Arial"/>
                <w:b/>
                <w:color w:val="0070C0"/>
              </w:rPr>
              <w:t>research</w:t>
            </w:r>
            <w:proofErr w:type="gramEnd"/>
          </w:p>
          <w:p w14:paraId="7B8D01FF" w14:textId="77777777" w:rsidR="003509F6" w:rsidRPr="00965C80" w:rsidRDefault="003509F6" w:rsidP="00507757">
            <w:pPr>
              <w:pStyle w:val="NoSpacing"/>
              <w:spacing w:before="120" w:after="120" w:line="300" w:lineRule="atLeast"/>
              <w:rPr>
                <w:rStyle w:val="googqs-tidbitgoogqs-tidbit-0"/>
                <w:rFonts w:ascii="Arial Narrow" w:hAnsi="Arial Narrow" w:cs="Arial"/>
              </w:rPr>
            </w:pPr>
            <w:r w:rsidRPr="00965C80">
              <w:rPr>
                <w:rStyle w:val="googqs-tidbitgoogqs-tidbit-0"/>
                <w:rFonts w:ascii="Arial Narrow" w:hAnsi="Arial Narrow" w:cs="Arial"/>
              </w:rPr>
              <w:t xml:space="preserve">These examples were generated in consultation with NSW public health organisations.  </w:t>
            </w:r>
          </w:p>
          <w:p w14:paraId="6B928633" w14:textId="77777777" w:rsidR="003509F6" w:rsidRPr="00965C80" w:rsidRDefault="003509F6" w:rsidP="00507757">
            <w:pPr>
              <w:pStyle w:val="NormalWeb"/>
              <w:spacing w:before="120" w:after="120" w:line="300" w:lineRule="atLeast"/>
              <w:rPr>
                <w:rFonts w:ascii="Arial Narrow" w:hAnsi="Arial Narrow" w:cs="Arial"/>
                <w:b/>
                <w:i/>
                <w:color w:val="833C0B"/>
              </w:rPr>
            </w:pPr>
            <w:r w:rsidRPr="00965C80">
              <w:rPr>
                <w:rFonts w:ascii="Arial Narrow" w:hAnsi="Arial Narrow" w:cs="Arial"/>
                <w:b/>
                <w:i/>
                <w:color w:val="833C0B"/>
              </w:rPr>
              <w:lastRenderedPageBreak/>
              <w:t xml:space="preserve">a) Examples of projects involving the collection, </w:t>
            </w:r>
            <w:proofErr w:type="gramStart"/>
            <w:r w:rsidRPr="00965C80">
              <w:rPr>
                <w:rFonts w:ascii="Arial Narrow" w:hAnsi="Arial Narrow" w:cs="Arial"/>
                <w:b/>
                <w:i/>
                <w:color w:val="833C0B"/>
              </w:rPr>
              <w:t>storage</w:t>
            </w:r>
            <w:proofErr w:type="gramEnd"/>
            <w:r w:rsidRPr="00965C80">
              <w:rPr>
                <w:rFonts w:ascii="Arial Narrow" w:hAnsi="Arial Narrow" w:cs="Arial"/>
                <w:b/>
                <w:i/>
                <w:color w:val="833C0B"/>
              </w:rPr>
              <w:t xml:space="preserve"> and disclosure of data </w:t>
            </w:r>
          </w:p>
          <w:p w14:paraId="6F334863" w14:textId="77777777" w:rsidR="003509F6" w:rsidRPr="00965C80" w:rsidRDefault="003509F6" w:rsidP="00507757">
            <w:pPr>
              <w:keepLines w:val="0"/>
              <w:numPr>
                <w:ilvl w:val="0"/>
                <w:numId w:val="18"/>
              </w:numPr>
              <w:tabs>
                <w:tab w:val="clear" w:pos="567"/>
              </w:tabs>
              <w:spacing w:before="120" w:after="120"/>
              <w:rPr>
                <w:rFonts w:ascii="Arial Narrow" w:hAnsi="Arial Narrow" w:cs="Arial"/>
              </w:rPr>
            </w:pPr>
            <w:r w:rsidRPr="00965C80">
              <w:rPr>
                <w:rFonts w:ascii="Arial Narrow" w:hAnsi="Arial Narrow" w:cs="Arial"/>
              </w:rPr>
              <w:t xml:space="preserve">Surveys or questionnaires where the data are </w:t>
            </w:r>
            <w:r w:rsidRPr="00965C80">
              <w:rPr>
                <w:rFonts w:ascii="Arial Narrow" w:hAnsi="Arial Narrow" w:cs="Arial"/>
                <w:u w:val="single"/>
              </w:rPr>
              <w:t>not</w:t>
            </w:r>
            <w:r w:rsidRPr="00965C80">
              <w:rPr>
                <w:rFonts w:ascii="Arial Narrow" w:hAnsi="Arial Narrow" w:cs="Arial"/>
              </w:rPr>
              <w:t xml:space="preserve"> identifiable or potentially identifiable to the researcher (e.g. returned anonymously) where the questions are not overly sensitive, and they have been satisfactorily peer reviewed to ensure that the questionnaire is likely to achieve the intended outcomes. For example:</w:t>
            </w:r>
          </w:p>
          <w:p w14:paraId="1D6CF388" w14:textId="77777777" w:rsidR="003509F6" w:rsidRPr="00965C80" w:rsidRDefault="003509F6" w:rsidP="00507757">
            <w:pPr>
              <w:pStyle w:val="ListParagraph"/>
              <w:keepLines w:val="0"/>
              <w:numPr>
                <w:ilvl w:val="0"/>
                <w:numId w:val="19"/>
              </w:numPr>
              <w:tabs>
                <w:tab w:val="clear" w:pos="567"/>
              </w:tabs>
              <w:spacing w:before="120" w:after="120"/>
              <w:contextualSpacing w:val="0"/>
              <w:rPr>
                <w:rFonts w:ascii="Arial Narrow" w:hAnsi="Arial Narrow" w:cs="Arial"/>
              </w:rPr>
            </w:pPr>
            <w:r w:rsidRPr="00965C80">
              <w:rPr>
                <w:rFonts w:ascii="Arial Narrow" w:hAnsi="Arial Narrow" w:cs="Arial"/>
              </w:rPr>
              <w:t xml:space="preserve">Online and/or anonymous surveys where there is no direct contact with participants (i.e., recruitment is through generic email, </w:t>
            </w:r>
            <w:proofErr w:type="gramStart"/>
            <w:r w:rsidRPr="00965C80">
              <w:rPr>
                <w:rFonts w:ascii="Arial Narrow" w:hAnsi="Arial Narrow" w:cs="Arial"/>
              </w:rPr>
              <w:t>mail</w:t>
            </w:r>
            <w:proofErr w:type="gramEnd"/>
            <w:r w:rsidRPr="00965C80">
              <w:rPr>
                <w:rFonts w:ascii="Arial Narrow" w:hAnsi="Arial Narrow" w:cs="Arial"/>
              </w:rPr>
              <w:t xml:space="preserve"> or a social networking site link.)</w:t>
            </w:r>
          </w:p>
          <w:p w14:paraId="77C75BBB" w14:textId="77777777" w:rsidR="003509F6" w:rsidRPr="00965C80" w:rsidRDefault="003509F6" w:rsidP="00507757">
            <w:pPr>
              <w:pStyle w:val="ListParagraph"/>
              <w:keepLines w:val="0"/>
              <w:numPr>
                <w:ilvl w:val="0"/>
                <w:numId w:val="18"/>
              </w:numPr>
              <w:tabs>
                <w:tab w:val="clear" w:pos="567"/>
              </w:tabs>
              <w:spacing w:before="120" w:after="120"/>
              <w:contextualSpacing w:val="0"/>
              <w:rPr>
                <w:rFonts w:ascii="Arial Narrow" w:hAnsi="Arial Narrow" w:cs="Arial"/>
              </w:rPr>
            </w:pPr>
            <w:r w:rsidRPr="00965C80">
              <w:rPr>
                <w:rFonts w:ascii="Arial Narrow" w:hAnsi="Arial Narrow" w:cs="Arial"/>
              </w:rPr>
              <w:t xml:space="preserve">Research interviews/focus groups that do not include highly sensitive topics or where accidental disclosure would not have serious </w:t>
            </w:r>
            <w:proofErr w:type="gramStart"/>
            <w:r w:rsidRPr="00965C80">
              <w:rPr>
                <w:rFonts w:ascii="Arial Narrow" w:hAnsi="Arial Narrow" w:cs="Arial"/>
              </w:rPr>
              <w:t>consequence</w:t>
            </w:r>
            <w:proofErr w:type="gramEnd"/>
            <w:r w:rsidRPr="00965C80">
              <w:rPr>
                <w:rFonts w:ascii="Arial Narrow" w:hAnsi="Arial Narrow" w:cs="Arial"/>
              </w:rPr>
              <w:t xml:space="preserve"> </w:t>
            </w:r>
          </w:p>
          <w:p w14:paraId="3616FF08" w14:textId="77777777" w:rsidR="003509F6" w:rsidRPr="00965C80" w:rsidRDefault="003509F6" w:rsidP="00507757">
            <w:pPr>
              <w:pStyle w:val="ListParagraph"/>
              <w:keepLines w:val="0"/>
              <w:numPr>
                <w:ilvl w:val="0"/>
                <w:numId w:val="20"/>
              </w:numPr>
              <w:tabs>
                <w:tab w:val="clear" w:pos="567"/>
              </w:tabs>
              <w:spacing w:before="120" w:after="120"/>
              <w:contextualSpacing w:val="0"/>
              <w:rPr>
                <w:rFonts w:ascii="Arial Narrow" w:hAnsi="Arial Narrow" w:cs="Arial"/>
              </w:rPr>
            </w:pPr>
            <w:r w:rsidRPr="00965C80">
              <w:rPr>
                <w:rFonts w:ascii="Arial Narrow" w:hAnsi="Arial Narrow" w:cs="Arial"/>
                <w:bCs/>
              </w:rPr>
              <w:t>Establishment of a data registry using non-identifiable data from existing data sets</w:t>
            </w:r>
          </w:p>
          <w:p w14:paraId="2B42B78A" w14:textId="77777777" w:rsidR="003509F6" w:rsidRPr="00965C80" w:rsidRDefault="003509F6" w:rsidP="00507757">
            <w:pPr>
              <w:pStyle w:val="NormalWeb"/>
              <w:spacing w:before="120" w:after="120" w:line="300" w:lineRule="atLeast"/>
              <w:rPr>
                <w:rFonts w:ascii="Arial Narrow" w:hAnsi="Arial Narrow" w:cs="Arial"/>
                <w:b/>
                <w:i/>
                <w:color w:val="833C0B"/>
              </w:rPr>
            </w:pPr>
            <w:r w:rsidRPr="00965C80">
              <w:rPr>
                <w:rFonts w:ascii="Arial Narrow" w:hAnsi="Arial Narrow" w:cs="Arial"/>
                <w:b/>
                <w:i/>
                <w:color w:val="833C0B"/>
              </w:rPr>
              <w:t xml:space="preserve">b) Examples of projects involving the use of bio-specimens </w:t>
            </w:r>
          </w:p>
          <w:p w14:paraId="3987F69C" w14:textId="77777777" w:rsidR="003509F6" w:rsidRPr="00965C80" w:rsidRDefault="003509F6" w:rsidP="00507757">
            <w:pPr>
              <w:pStyle w:val="NoSpacing"/>
              <w:spacing w:before="120" w:after="120" w:line="300" w:lineRule="atLeast"/>
              <w:rPr>
                <w:rFonts w:ascii="Arial Narrow" w:hAnsi="Arial Narrow" w:cs="Arial"/>
              </w:rPr>
            </w:pPr>
            <w:r w:rsidRPr="00965C80">
              <w:rPr>
                <w:rFonts w:ascii="Arial Narrow" w:hAnsi="Arial Narrow" w:cs="Arial"/>
              </w:rPr>
              <w:t>Research using existing bio-specimens already taken with unspecified (i.e., broad) or extended consent for research:</w:t>
            </w:r>
          </w:p>
          <w:p w14:paraId="300C9178" w14:textId="77777777" w:rsidR="003509F6" w:rsidRPr="00965C80" w:rsidRDefault="003509F6" w:rsidP="00507757">
            <w:pPr>
              <w:pStyle w:val="NoSpacing"/>
              <w:numPr>
                <w:ilvl w:val="0"/>
                <w:numId w:val="21"/>
              </w:numPr>
              <w:spacing w:before="120" w:after="120" w:line="300" w:lineRule="atLeast"/>
              <w:rPr>
                <w:rFonts w:ascii="Arial Narrow" w:hAnsi="Arial Narrow" w:cs="Arial"/>
              </w:rPr>
            </w:pPr>
            <w:r w:rsidRPr="00965C80">
              <w:rPr>
                <w:rFonts w:ascii="Arial Narrow" w:hAnsi="Arial Narrow" w:cs="Arial"/>
              </w:rPr>
              <w:t xml:space="preserve">Where the research does not involve any risks to the donors, their blood relatives or their community that are more serious than </w:t>
            </w:r>
            <w:proofErr w:type="gramStart"/>
            <w:r w:rsidRPr="00965C80">
              <w:rPr>
                <w:rFonts w:ascii="Arial Narrow" w:hAnsi="Arial Narrow" w:cs="Arial"/>
              </w:rPr>
              <w:t>discomfort</w:t>
            </w:r>
            <w:proofErr w:type="gramEnd"/>
          </w:p>
          <w:p w14:paraId="6D35776A" w14:textId="77777777" w:rsidR="003509F6" w:rsidRPr="00965C80" w:rsidRDefault="003509F6" w:rsidP="00507757">
            <w:pPr>
              <w:pStyle w:val="NoSpacing"/>
              <w:numPr>
                <w:ilvl w:val="0"/>
                <w:numId w:val="21"/>
              </w:numPr>
              <w:spacing w:before="120" w:after="120" w:line="300" w:lineRule="atLeast"/>
              <w:rPr>
                <w:rFonts w:ascii="Arial Narrow" w:hAnsi="Arial Narrow" w:cs="Arial"/>
              </w:rPr>
            </w:pPr>
            <w:r w:rsidRPr="00965C80">
              <w:rPr>
                <w:rFonts w:ascii="Arial Narrow" w:hAnsi="Arial Narrow" w:cs="Arial"/>
              </w:rPr>
              <w:t xml:space="preserve">Where the research cannot reveal information that may be important for the health of the donor(s), their blood relatives or their </w:t>
            </w:r>
            <w:proofErr w:type="gramStart"/>
            <w:r w:rsidRPr="00965C80">
              <w:rPr>
                <w:rFonts w:ascii="Arial Narrow" w:hAnsi="Arial Narrow" w:cs="Arial"/>
              </w:rPr>
              <w:t>community</w:t>
            </w:r>
            <w:proofErr w:type="gramEnd"/>
          </w:p>
          <w:p w14:paraId="37332102" w14:textId="77777777" w:rsidR="003509F6" w:rsidRPr="00965C80" w:rsidRDefault="003509F6" w:rsidP="00507757">
            <w:pPr>
              <w:pStyle w:val="NoSpacing"/>
              <w:numPr>
                <w:ilvl w:val="0"/>
                <w:numId w:val="21"/>
              </w:numPr>
              <w:spacing w:before="120" w:after="120" w:line="300" w:lineRule="atLeast"/>
              <w:rPr>
                <w:rFonts w:ascii="Arial Narrow" w:hAnsi="Arial Narrow" w:cs="Arial"/>
              </w:rPr>
            </w:pPr>
            <w:r w:rsidRPr="00965C80">
              <w:rPr>
                <w:rFonts w:ascii="Arial Narrow" w:hAnsi="Arial Narrow" w:cs="Arial"/>
              </w:rPr>
              <w:t>Where specific individuals cannot be identified from the bio-specimens used (i.e., the bio-specimens are non-identifiable to the researcher).</w:t>
            </w:r>
          </w:p>
          <w:p w14:paraId="3F861B2D" w14:textId="77777777" w:rsidR="003509F6" w:rsidRPr="00965C80" w:rsidRDefault="003509F6" w:rsidP="00507757">
            <w:pPr>
              <w:spacing w:before="120" w:after="120"/>
              <w:rPr>
                <w:rFonts w:ascii="Arial Narrow" w:hAnsi="Arial Narrow" w:cs="Arial"/>
                <w:b/>
                <w:i/>
                <w:color w:val="833C0B"/>
              </w:rPr>
            </w:pPr>
            <w:r w:rsidRPr="00965C80">
              <w:rPr>
                <w:rFonts w:ascii="Arial Narrow" w:hAnsi="Arial Narrow" w:cs="Arial"/>
                <w:b/>
                <w:i/>
                <w:color w:val="833C0B"/>
              </w:rPr>
              <w:t>c) Examples of projects involving non-invasive or minimally invasive activities</w:t>
            </w:r>
          </w:p>
          <w:p w14:paraId="16CD51D6" w14:textId="77777777" w:rsidR="003509F6" w:rsidRDefault="003509F6" w:rsidP="00507757">
            <w:pPr>
              <w:pStyle w:val="NoSpacing"/>
              <w:numPr>
                <w:ilvl w:val="0"/>
                <w:numId w:val="18"/>
              </w:numPr>
              <w:spacing w:before="120" w:after="120" w:line="300" w:lineRule="atLeast"/>
              <w:rPr>
                <w:rFonts w:ascii="Arial Narrow" w:hAnsi="Arial Narrow" w:cs="Arial"/>
              </w:rPr>
            </w:pPr>
            <w:r w:rsidRPr="00965C80">
              <w:rPr>
                <w:rFonts w:ascii="Arial Narrow" w:hAnsi="Arial Narrow" w:cs="Arial"/>
              </w:rPr>
              <w:t>Prospective research involving non-invasive or minimally invasive activities</w:t>
            </w:r>
            <w:r w:rsidRPr="00965C80" w:rsidDel="00F75ADE">
              <w:rPr>
                <w:rFonts w:ascii="Arial Narrow" w:hAnsi="Arial Narrow" w:cs="Arial"/>
              </w:rPr>
              <w:t xml:space="preserve"> </w:t>
            </w:r>
            <w:r w:rsidRPr="00965C80">
              <w:rPr>
                <w:rFonts w:ascii="Arial Narrow" w:hAnsi="Arial Narrow" w:cs="Arial"/>
              </w:rPr>
              <w:t xml:space="preserve">may be eligible for low-risk review. Examples might include research activities where participants are asked to read materials, review pictures or videos, play online games, solve puzzles, or perform cognitive tasks. </w:t>
            </w:r>
          </w:p>
          <w:p w14:paraId="5DC932F7" w14:textId="77777777" w:rsidR="003509F6" w:rsidRPr="00705F76" w:rsidRDefault="003509F6" w:rsidP="00507757">
            <w:pPr>
              <w:pStyle w:val="NoSpacing"/>
              <w:spacing w:before="120" w:after="120" w:line="300" w:lineRule="atLeast"/>
              <w:rPr>
                <w:rFonts w:ascii="Arial Narrow" w:hAnsi="Arial Narrow" w:cs="Arial"/>
                <w:sz w:val="16"/>
                <w:szCs w:val="16"/>
              </w:rPr>
            </w:pPr>
            <w:r w:rsidRPr="00705F76">
              <w:rPr>
                <w:rStyle w:val="FootnoteReference"/>
                <w:rFonts w:ascii="Arial Narrow" w:hAnsi="Arial Narrow"/>
                <w:sz w:val="16"/>
                <w:szCs w:val="16"/>
              </w:rPr>
              <w:t>2</w:t>
            </w:r>
            <w:r w:rsidRPr="00705F76">
              <w:rPr>
                <w:rFonts w:ascii="Arial Narrow" w:eastAsia="Times New Roman" w:hAnsi="Arial Narrow" w:cstheme="minorHAnsi"/>
                <w:sz w:val="16"/>
                <w:szCs w:val="16"/>
                <w:lang w:eastAsia="en-AU"/>
              </w:rPr>
              <w:t xml:space="preserve"> Inclusion on this list merely means that the activity is eligible for review through LNR processes when the specific circumstances of the proposed research involve no more than low risk to participants.</w:t>
            </w:r>
          </w:p>
          <w:p w14:paraId="0AB51EBA" w14:textId="77777777" w:rsidR="003509F6" w:rsidRPr="00965C80" w:rsidRDefault="003509F6" w:rsidP="00507757">
            <w:pPr>
              <w:pStyle w:val="NormalWeb"/>
              <w:tabs>
                <w:tab w:val="left" w:pos="6653"/>
              </w:tabs>
              <w:spacing w:before="120" w:after="120" w:line="300" w:lineRule="atLeast"/>
              <w:rPr>
                <w:rStyle w:val="googqs-tidbitgoogqs-tidbit-0"/>
                <w:rFonts w:ascii="Arial Narrow" w:hAnsi="Arial Narrow" w:cs="Arial"/>
                <w:b/>
                <w:color w:val="0070C0"/>
              </w:rPr>
            </w:pPr>
            <w:r w:rsidRPr="00965C80">
              <w:rPr>
                <w:rStyle w:val="googqs-tidbitgoogqs-tidbit-0"/>
                <w:rFonts w:ascii="Arial Narrow" w:hAnsi="Arial Narrow" w:cs="Arial"/>
                <w:b/>
                <w:color w:val="0070C0"/>
              </w:rPr>
              <w:t>4) Projects that may be exempt from ethics review</w:t>
            </w:r>
          </w:p>
          <w:p w14:paraId="616875BF" w14:textId="77777777" w:rsidR="003509F6" w:rsidRPr="00965C80" w:rsidRDefault="003509F6" w:rsidP="00507757">
            <w:pPr>
              <w:pStyle w:val="NoSpacing"/>
              <w:spacing w:before="120" w:after="120" w:line="300" w:lineRule="atLeast"/>
              <w:rPr>
                <w:rStyle w:val="googqs-tidbitgoogqs-tidbit-0"/>
                <w:rFonts w:ascii="Arial Narrow" w:hAnsi="Arial Narrow" w:cs="Arial"/>
              </w:rPr>
            </w:pPr>
            <w:r w:rsidRPr="00965C80">
              <w:rPr>
                <w:rStyle w:val="googqs-tidbitgoogqs-tidbit-0"/>
                <w:rFonts w:ascii="Arial Narrow" w:hAnsi="Arial Narrow" w:cs="Arial"/>
              </w:rPr>
              <w:t xml:space="preserve">Institutions may choose to exempt from ethics review, research that involves the use of existing </w:t>
            </w:r>
            <w:r w:rsidRPr="00965C80">
              <w:rPr>
                <w:rFonts w:ascii="Arial Narrow" w:hAnsi="Arial Narrow" w:cs="Arial"/>
              </w:rPr>
              <w:t xml:space="preserve">collections of data or records that contain only non-identifiable data about human beings </w:t>
            </w:r>
            <w:r w:rsidRPr="00965C80">
              <w:rPr>
                <w:rFonts w:ascii="Arial Narrow" w:hAnsi="Arial Narrow" w:cs="Arial"/>
                <w:u w:val="single"/>
              </w:rPr>
              <w:t>and</w:t>
            </w:r>
            <w:r w:rsidRPr="00965C80">
              <w:rPr>
                <w:rFonts w:ascii="Arial Narrow" w:hAnsi="Arial Narrow" w:cs="Arial"/>
              </w:rPr>
              <w:t xml:space="preserve"> is negligible risk research.  </w:t>
            </w:r>
          </w:p>
          <w:p w14:paraId="7F7A18B8" w14:textId="77777777" w:rsidR="003509F6" w:rsidRPr="00965C80" w:rsidRDefault="003509F6" w:rsidP="00507757">
            <w:pPr>
              <w:pStyle w:val="NoSpacing"/>
              <w:spacing w:before="120" w:after="120" w:line="300" w:lineRule="atLeast"/>
              <w:rPr>
                <w:rFonts w:ascii="Arial Narrow" w:hAnsi="Arial Narrow" w:cs="Arial"/>
              </w:rPr>
            </w:pPr>
            <w:r w:rsidRPr="00965C80">
              <w:rPr>
                <w:rFonts w:ascii="Arial Narrow" w:hAnsi="Arial Narrow" w:cs="Arial"/>
                <w:lang w:val="en-GB"/>
              </w:rPr>
              <w:t>Institutions that do not have separate procedures for reviewing research that is exempt from ethics review are likely to review this sub-set of research under their established low risk review processes.</w:t>
            </w:r>
            <w:r w:rsidRPr="00965C80">
              <w:rPr>
                <w:rFonts w:ascii="Arial Narrow" w:hAnsi="Arial Narrow" w:cs="Arial"/>
              </w:rPr>
              <w:t xml:space="preserve"> </w:t>
            </w:r>
          </w:p>
          <w:p w14:paraId="0A13401C" w14:textId="77777777" w:rsidR="003509F6" w:rsidRPr="00705F76" w:rsidRDefault="003509F6" w:rsidP="00507757">
            <w:pPr>
              <w:rPr>
                <w:rFonts w:ascii="Arial Narrow" w:hAnsi="Arial Narrow"/>
                <w:b/>
                <w:bCs/>
              </w:rPr>
            </w:pPr>
            <w:r w:rsidRPr="00705F76">
              <w:rPr>
                <w:rFonts w:ascii="Arial Narrow" w:hAnsi="Arial Narrow"/>
                <w:b/>
                <w:bCs/>
              </w:rPr>
              <w:t>Journal Requests for Ethics Review</w:t>
            </w:r>
          </w:p>
          <w:p w14:paraId="1F8F2FFD" w14:textId="77777777" w:rsidR="003509F6" w:rsidRPr="00705F76" w:rsidRDefault="003509F6" w:rsidP="00507757">
            <w:pPr>
              <w:rPr>
                <w:rFonts w:ascii="Arial Narrow" w:hAnsi="Arial Narrow"/>
              </w:rPr>
            </w:pPr>
            <w:r w:rsidRPr="00705F76">
              <w:rPr>
                <w:rFonts w:ascii="Arial Narrow" w:hAnsi="Arial Narrow"/>
              </w:rPr>
              <w:t>If required by a journal as a condition of publication, an HREC or other ethics review body may be willing to review a study. However, editors of most journals will usually accept a letter from the institution confirming that an appropriate ethics review process was used or that ethics review was not required.</w:t>
            </w:r>
          </w:p>
          <w:p w14:paraId="5330D121" w14:textId="77777777" w:rsidR="003509F6" w:rsidRDefault="003509F6" w:rsidP="00507757">
            <w:pPr>
              <w:pStyle w:val="NoSpacing"/>
              <w:tabs>
                <w:tab w:val="clear" w:pos="425"/>
              </w:tabs>
              <w:spacing w:before="120" w:after="120" w:line="300" w:lineRule="atLeast"/>
              <w:jc w:val="both"/>
              <w:rPr>
                <w:rStyle w:val="googqs-tidbitgoogqs-tidbit-0"/>
                <w:rFonts w:ascii="Arial Narrow" w:hAnsi="Arial Narrow" w:cs="Arial"/>
                <w:color w:val="000000"/>
              </w:rPr>
            </w:pPr>
            <w:r w:rsidRPr="00965C80">
              <w:rPr>
                <w:rStyle w:val="googqs-tidbitgoogqs-tidbit-0"/>
                <w:rFonts w:ascii="Arial Narrow" w:hAnsi="Arial Narrow" w:cs="Arial"/>
                <w:b/>
                <w:color w:val="000000"/>
              </w:rPr>
              <w:t>Figure 1</w:t>
            </w:r>
            <w:r w:rsidRPr="00965C80">
              <w:rPr>
                <w:rStyle w:val="googqs-tidbitgoogqs-tidbit-0"/>
                <w:rFonts w:ascii="Arial Narrow" w:hAnsi="Arial Narrow" w:cs="Arial"/>
                <w:color w:val="000000"/>
              </w:rPr>
              <w:t xml:space="preserve"> below provides an overview per the National Statement, including </w:t>
            </w:r>
            <w:proofErr w:type="gramStart"/>
            <w:r w:rsidRPr="00965C80">
              <w:rPr>
                <w:rStyle w:val="googqs-tidbitgoogqs-tidbit-0"/>
                <w:rFonts w:ascii="Arial Narrow" w:hAnsi="Arial Narrow" w:cs="Arial"/>
                <w:color w:val="000000"/>
              </w:rPr>
              <w:t>step-wise</w:t>
            </w:r>
            <w:proofErr w:type="gramEnd"/>
            <w:r w:rsidRPr="00965C80">
              <w:rPr>
                <w:rStyle w:val="googqs-tidbitgoogqs-tidbit-0"/>
                <w:rFonts w:ascii="Arial Narrow" w:hAnsi="Arial Narrow" w:cs="Arial"/>
                <w:color w:val="000000"/>
              </w:rPr>
              <w:t xml:space="preserve"> considerations to help institutions determine the appropriate level of review.</w:t>
            </w:r>
          </w:p>
          <w:p w14:paraId="12D3BF20" w14:textId="77777777" w:rsidR="003509F6" w:rsidRPr="00965C80" w:rsidRDefault="003509F6" w:rsidP="00507757">
            <w:pPr>
              <w:pStyle w:val="NoSpacing"/>
              <w:tabs>
                <w:tab w:val="clear" w:pos="425"/>
              </w:tabs>
              <w:spacing w:before="120" w:after="120" w:line="300" w:lineRule="atLeast"/>
              <w:jc w:val="both"/>
              <w:rPr>
                <w:rFonts w:ascii="Arial Narrow" w:hAnsi="Arial Narrow" w:cs="Arial"/>
              </w:rPr>
            </w:pPr>
            <w:r w:rsidRPr="00705F76">
              <w:rPr>
                <w:rFonts w:ascii="Arial Narrow" w:hAnsi="Arial Narrow" w:cs="Arial"/>
                <w:noProof/>
              </w:rPr>
              <w:lastRenderedPageBreak/>
              <w:drawing>
                <wp:inline distT="0" distB="0" distL="0" distR="0" wp14:anchorId="787BC8C5" wp14:editId="3FD22AC6">
                  <wp:extent cx="5976000" cy="3970153"/>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976000" cy="3970153"/>
                          </a:xfrm>
                          <a:prstGeom prst="rect">
                            <a:avLst/>
                          </a:prstGeom>
                        </pic:spPr>
                      </pic:pic>
                    </a:graphicData>
                  </a:graphic>
                </wp:inline>
              </w:drawing>
            </w:r>
          </w:p>
          <w:p w14:paraId="6057E3D3" w14:textId="77777777" w:rsidR="003509F6" w:rsidRDefault="003509F6" w:rsidP="00507757">
            <w:pPr>
              <w:tabs>
                <w:tab w:val="clear" w:pos="567"/>
              </w:tabs>
              <w:spacing w:before="120" w:after="120"/>
              <w:rPr>
                <w:lang w:eastAsia="en-AU"/>
              </w:rPr>
            </w:pPr>
          </w:p>
        </w:tc>
      </w:tr>
    </w:tbl>
    <w:p w14:paraId="37FB4BA3" w14:textId="77777777" w:rsidR="003509F6" w:rsidRPr="00297C9B" w:rsidRDefault="003509F6" w:rsidP="007354F4">
      <w:pPr>
        <w:pStyle w:val="BulletedListLevel1"/>
        <w:numPr>
          <w:ilvl w:val="0"/>
          <w:numId w:val="0"/>
        </w:numPr>
        <w:spacing w:before="120" w:after="120"/>
        <w:ind w:left="567" w:hanging="567"/>
        <w:rPr>
          <w:rStyle w:val="Hyperlink"/>
          <w:color w:val="auto"/>
          <w:szCs w:val="22"/>
          <w:u w:val="none"/>
        </w:rPr>
      </w:pPr>
    </w:p>
    <w:sectPr w:rsidR="003509F6" w:rsidRPr="00297C9B" w:rsidSect="00976CCC">
      <w:pgSz w:w="11906" w:h="16838" w:code="9"/>
      <w:pgMar w:top="907" w:right="1134" w:bottom="737" w:left="1134" w:header="709"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384D2" w14:textId="77777777" w:rsidR="009D5D23" w:rsidRDefault="009D5D23">
      <w:r>
        <w:separator/>
      </w:r>
    </w:p>
  </w:endnote>
  <w:endnote w:type="continuationSeparator" w:id="0">
    <w:p w14:paraId="33F1B52B" w14:textId="77777777" w:rsidR="009D5D23" w:rsidRDefault="009D5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Neue LT Std">
    <w:altName w:val="Arial"/>
    <w:panose1 w:val="00000000000000000000"/>
    <w:charset w:val="00"/>
    <w:family w:val="swiss"/>
    <w:notTrueType/>
    <w:pitch w:val="default"/>
    <w:sig w:usb0="00000003" w:usb1="00000000" w:usb2="00000000" w:usb3="00000000" w:csb0="00000001" w:csb1="00000000"/>
  </w:font>
  <w:font w:name="Open Sans">
    <w:charset w:val="00"/>
    <w:family w:val="swiss"/>
    <w:pitch w:val="variable"/>
    <w:sig w:usb0="E00002EF" w:usb1="4000205B" w:usb2="00000028" w:usb3="00000000" w:csb0="0000019F" w:csb1="00000000"/>
  </w:font>
  <w:font w:name="UniversLTStd-Light">
    <w:altName w:val="Calibri"/>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ITC Garamond Std Lt">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2FA1A" w14:textId="77777777" w:rsidR="006C7F3E" w:rsidRDefault="006C7F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11D39" w14:textId="77777777" w:rsidR="00A83E1F" w:rsidRPr="00D93BC7" w:rsidRDefault="00A83E1F" w:rsidP="00E14AAC">
    <w:pPr>
      <w:pBdr>
        <w:top w:val="single" w:sz="4" w:space="1" w:color="auto"/>
      </w:pBdr>
      <w:autoSpaceDE w:val="0"/>
      <w:autoSpaceDN w:val="0"/>
      <w:adjustRightInd w:val="0"/>
      <w:rPr>
        <w:sz w:val="18"/>
        <w:szCs w:val="18"/>
      </w:rPr>
    </w:pPr>
    <w:r w:rsidRPr="00D93BC7">
      <w:rPr>
        <w:sz w:val="18"/>
        <w:szCs w:val="18"/>
      </w:rPr>
      <w:t xml:space="preserve">This </w:t>
    </w:r>
    <w:r>
      <w:rPr>
        <w:sz w:val="18"/>
        <w:szCs w:val="18"/>
      </w:rPr>
      <w:t>Procedure</w:t>
    </w:r>
    <w:r w:rsidRPr="00D93BC7">
      <w:rPr>
        <w:sz w:val="18"/>
        <w:szCs w:val="18"/>
      </w:rPr>
      <w:t xml:space="preserve"> may be varied, </w:t>
    </w:r>
    <w:proofErr w:type="gramStart"/>
    <w:r w:rsidRPr="00D93BC7">
      <w:rPr>
        <w:sz w:val="18"/>
        <w:szCs w:val="18"/>
      </w:rPr>
      <w:t>withdrawn</w:t>
    </w:r>
    <w:proofErr w:type="gramEnd"/>
    <w:r w:rsidRPr="00D93BC7">
      <w:rPr>
        <w:sz w:val="18"/>
        <w:szCs w:val="18"/>
      </w:rPr>
      <w:t xml:space="preserve"> or replaced at any time. Compliance with this directive is </w:t>
    </w:r>
    <w:r w:rsidRPr="00D93BC7">
      <w:rPr>
        <w:b/>
        <w:bCs/>
        <w:sz w:val="18"/>
        <w:szCs w:val="18"/>
      </w:rPr>
      <w:t xml:space="preserve">mandatory </w:t>
    </w:r>
    <w:r w:rsidRPr="00D93BC7">
      <w:rPr>
        <w:sz w:val="18"/>
        <w:szCs w:val="18"/>
      </w:rPr>
      <w:t xml:space="preserve">for the </w:t>
    </w:r>
    <w:r>
      <w:rPr>
        <w:sz w:val="18"/>
        <w:szCs w:val="18"/>
      </w:rPr>
      <w:t>Department of Health and Human Services</w:t>
    </w:r>
    <w:r w:rsidRPr="00D93BC7">
      <w:rPr>
        <w:sz w:val="18"/>
        <w:szCs w:val="18"/>
      </w:rPr>
      <w:t xml:space="preserve">. </w:t>
    </w:r>
    <w:r w:rsidRPr="00D93BC7">
      <w:rPr>
        <w:b/>
        <w:bCs/>
        <w:smallCaps/>
        <w:sz w:val="18"/>
        <w:szCs w:val="18"/>
      </w:rPr>
      <w:t>Please Destroy Printed Copies</w:t>
    </w:r>
    <w:r w:rsidRPr="00D93BC7">
      <w:rPr>
        <w:sz w:val="18"/>
        <w:szCs w:val="18"/>
      </w:rPr>
      <w:t xml:space="preserve">. The electronic version of this </w:t>
    </w:r>
    <w:r>
      <w:rPr>
        <w:sz w:val="18"/>
        <w:szCs w:val="18"/>
      </w:rPr>
      <w:t>Procedure</w:t>
    </w:r>
    <w:r w:rsidRPr="00D93BC7">
      <w:rPr>
        <w:sz w:val="18"/>
        <w:szCs w:val="18"/>
      </w:rPr>
      <w:t xml:space="preserve"> is the approved and current version and is located on the </w:t>
    </w:r>
    <w:r>
      <w:rPr>
        <w:sz w:val="18"/>
        <w:szCs w:val="18"/>
      </w:rPr>
      <w:t>Department of Health and Human Services’ Strategic Document Management System</w:t>
    </w:r>
    <w:r w:rsidRPr="00D93BC7">
      <w:rPr>
        <w:sz w:val="18"/>
        <w:szCs w:val="18"/>
      </w:rPr>
      <w:t>. Any printed version is uncontr</w:t>
    </w:r>
    <w:r>
      <w:rPr>
        <w:sz w:val="18"/>
        <w:szCs w:val="18"/>
      </w:rPr>
      <w:t>olled and therefore not current.</w:t>
    </w:r>
  </w:p>
  <w:p w14:paraId="1DBAFEEF" w14:textId="77777777" w:rsidR="00A83E1F" w:rsidRPr="007D6BA9" w:rsidRDefault="00A83E1F" w:rsidP="007D6BA9">
    <w:pPr>
      <w:pStyle w:val="Footer"/>
      <w:jc w:val="right"/>
      <w:rPr>
        <w:i w:val="0"/>
      </w:rPr>
    </w:pPr>
    <w:r w:rsidRPr="007D6BA9">
      <w:rPr>
        <w:i w:val="0"/>
      </w:rPr>
      <w:t xml:space="preserve">Page </w:t>
    </w:r>
    <w:r w:rsidRPr="007D6BA9">
      <w:rPr>
        <w:i w:val="0"/>
      </w:rPr>
      <w:fldChar w:fldCharType="begin"/>
    </w:r>
    <w:r w:rsidRPr="007D6BA9">
      <w:rPr>
        <w:i w:val="0"/>
      </w:rPr>
      <w:instrText xml:space="preserve"> PAGE </w:instrText>
    </w:r>
    <w:r w:rsidRPr="007D6BA9">
      <w:rPr>
        <w:i w:val="0"/>
      </w:rPr>
      <w:fldChar w:fldCharType="separate"/>
    </w:r>
    <w:r>
      <w:rPr>
        <w:i w:val="0"/>
        <w:noProof/>
      </w:rPr>
      <w:t>3</w:t>
    </w:r>
    <w:r w:rsidRPr="007D6BA9">
      <w:rPr>
        <w:i w:val="0"/>
      </w:rPr>
      <w:fldChar w:fldCharType="end"/>
    </w:r>
    <w:r w:rsidRPr="007D6BA9">
      <w:rPr>
        <w:i w:val="0"/>
      </w:rPr>
      <w:t xml:space="preserve"> of </w:t>
    </w:r>
    <w:r w:rsidRPr="007D6BA9">
      <w:rPr>
        <w:i w:val="0"/>
      </w:rPr>
      <w:fldChar w:fldCharType="begin"/>
    </w:r>
    <w:r w:rsidRPr="007D6BA9">
      <w:rPr>
        <w:i w:val="0"/>
      </w:rPr>
      <w:instrText xml:space="preserve"> NUMPAGES </w:instrText>
    </w:r>
    <w:r w:rsidRPr="007D6BA9">
      <w:rPr>
        <w:i w:val="0"/>
      </w:rPr>
      <w:fldChar w:fldCharType="separate"/>
    </w:r>
    <w:r>
      <w:rPr>
        <w:i w:val="0"/>
        <w:noProof/>
      </w:rPr>
      <w:t>3</w:t>
    </w:r>
    <w:r w:rsidRPr="007D6BA9">
      <w:rPr>
        <w:i w:val="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39D70" w14:textId="77777777" w:rsidR="006C7F3E" w:rsidRDefault="006C7F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7EE88" w14:textId="77777777" w:rsidR="009D5D23" w:rsidRDefault="009D5D23">
      <w:r>
        <w:separator/>
      </w:r>
    </w:p>
  </w:footnote>
  <w:footnote w:type="continuationSeparator" w:id="0">
    <w:p w14:paraId="32E27CE1" w14:textId="77777777" w:rsidR="009D5D23" w:rsidRDefault="009D5D23">
      <w:r>
        <w:continuationSeparator/>
      </w:r>
    </w:p>
  </w:footnote>
  <w:footnote w:id="1">
    <w:p w14:paraId="7CBFB57C" w14:textId="77777777" w:rsidR="003509F6" w:rsidRPr="000513BB" w:rsidRDefault="003509F6" w:rsidP="003509F6">
      <w:pPr>
        <w:pStyle w:val="NoSpacing"/>
        <w:rPr>
          <w:rFonts w:asciiTheme="minorHAnsi" w:hAnsiTheme="minorHAnsi" w:cstheme="minorHAnsi"/>
          <w:sz w:val="18"/>
          <w:szCs w:val="18"/>
          <w:lang w:val="en-GB"/>
        </w:rPr>
      </w:pPr>
      <w:r w:rsidRPr="000513BB">
        <w:rPr>
          <w:rStyle w:val="FootnoteReference"/>
          <w:rFonts w:asciiTheme="minorHAnsi" w:hAnsiTheme="minorHAnsi" w:cstheme="minorHAnsi"/>
          <w:sz w:val="18"/>
          <w:szCs w:val="18"/>
        </w:rPr>
        <w:footnoteRef/>
      </w:r>
      <w:r w:rsidRPr="000513BB">
        <w:rPr>
          <w:rFonts w:asciiTheme="minorHAnsi" w:hAnsiTheme="minorHAnsi" w:cstheme="minorHAnsi"/>
          <w:sz w:val="18"/>
          <w:szCs w:val="18"/>
        </w:rPr>
        <w:t xml:space="preserve"> </w:t>
      </w:r>
      <w:r w:rsidRPr="000513BB">
        <w:rPr>
          <w:rFonts w:asciiTheme="minorHAnsi" w:hAnsiTheme="minorHAnsi" w:cstheme="minorHAnsi"/>
          <w:i/>
          <w:sz w:val="18"/>
          <w:szCs w:val="18"/>
        </w:rPr>
        <w:t>HREC review</w:t>
      </w:r>
      <w:r w:rsidRPr="000513BB">
        <w:rPr>
          <w:rFonts w:asciiTheme="minorHAnsi" w:hAnsiTheme="minorHAnsi" w:cstheme="minorHAnsi"/>
          <w:sz w:val="18"/>
          <w:szCs w:val="18"/>
        </w:rPr>
        <w:t xml:space="preserve"> means review by an HREC that is </w:t>
      </w:r>
      <w:r w:rsidRPr="000513BB">
        <w:rPr>
          <w:rFonts w:cs="ITC Garamond Std Lt"/>
          <w:sz w:val="18"/>
          <w:szCs w:val="18"/>
        </w:rPr>
        <w:t xml:space="preserve">constituted and functioning in accordance with Section 5 of the National Statement.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4746A" w14:textId="5ACCA8F1" w:rsidR="006C7F3E" w:rsidRDefault="006C7F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B1FCE" w14:textId="787A0DC6" w:rsidR="00A83E1F" w:rsidRPr="00A962DC" w:rsidRDefault="00A83E1F" w:rsidP="00A2494C">
    <w:pPr>
      <w:pStyle w:val="Header"/>
      <w:tabs>
        <w:tab w:val="clear" w:pos="567"/>
        <w:tab w:val="clear" w:pos="8306"/>
        <w:tab w:val="left" w:pos="0"/>
        <w:tab w:val="right" w:pos="9631"/>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0A92D" w14:textId="6484EEDE" w:rsidR="006C7F3E" w:rsidRDefault="006C7F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35DDF"/>
    <w:multiLevelType w:val="hybridMultilevel"/>
    <w:tmpl w:val="E9CE0336"/>
    <w:lvl w:ilvl="0" w:tplc="E3421176">
      <w:start w:val="1"/>
      <w:numFmt w:val="bullet"/>
      <w:lvlText w:val=""/>
      <w:lvlJc w:val="left"/>
      <w:pPr>
        <w:tabs>
          <w:tab w:val="num" w:pos="720"/>
        </w:tabs>
        <w:ind w:left="720" w:hanging="360"/>
      </w:pPr>
      <w:rPr>
        <w:rFonts w:ascii="Wingdings 3" w:hAnsi="Wingdings 3"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956275EE">
      <w:start w:val="1"/>
      <w:numFmt w:val="bullet"/>
      <w:lvlText w:val=""/>
      <w:lvlJc w:val="left"/>
      <w:pPr>
        <w:tabs>
          <w:tab w:val="num" w:pos="2160"/>
        </w:tabs>
        <w:ind w:left="2160" w:hanging="360"/>
      </w:pPr>
      <w:rPr>
        <w:rFonts w:ascii="Wingdings 3" w:hAnsi="Wingdings 3" w:hint="default"/>
      </w:rPr>
    </w:lvl>
    <w:lvl w:ilvl="3" w:tplc="9DD8CE64" w:tentative="1">
      <w:start w:val="1"/>
      <w:numFmt w:val="bullet"/>
      <w:lvlText w:val=""/>
      <w:lvlJc w:val="left"/>
      <w:pPr>
        <w:tabs>
          <w:tab w:val="num" w:pos="2880"/>
        </w:tabs>
        <w:ind w:left="2880" w:hanging="360"/>
      </w:pPr>
      <w:rPr>
        <w:rFonts w:ascii="Wingdings 3" w:hAnsi="Wingdings 3" w:hint="default"/>
      </w:rPr>
    </w:lvl>
    <w:lvl w:ilvl="4" w:tplc="6726950E" w:tentative="1">
      <w:start w:val="1"/>
      <w:numFmt w:val="bullet"/>
      <w:lvlText w:val=""/>
      <w:lvlJc w:val="left"/>
      <w:pPr>
        <w:tabs>
          <w:tab w:val="num" w:pos="3600"/>
        </w:tabs>
        <w:ind w:left="3600" w:hanging="360"/>
      </w:pPr>
      <w:rPr>
        <w:rFonts w:ascii="Wingdings 3" w:hAnsi="Wingdings 3" w:hint="default"/>
      </w:rPr>
    </w:lvl>
    <w:lvl w:ilvl="5" w:tplc="DC2ABE68" w:tentative="1">
      <w:start w:val="1"/>
      <w:numFmt w:val="bullet"/>
      <w:lvlText w:val=""/>
      <w:lvlJc w:val="left"/>
      <w:pPr>
        <w:tabs>
          <w:tab w:val="num" w:pos="4320"/>
        </w:tabs>
        <w:ind w:left="4320" w:hanging="360"/>
      </w:pPr>
      <w:rPr>
        <w:rFonts w:ascii="Wingdings 3" w:hAnsi="Wingdings 3" w:hint="default"/>
      </w:rPr>
    </w:lvl>
    <w:lvl w:ilvl="6" w:tplc="0FE63CE2" w:tentative="1">
      <w:start w:val="1"/>
      <w:numFmt w:val="bullet"/>
      <w:lvlText w:val=""/>
      <w:lvlJc w:val="left"/>
      <w:pPr>
        <w:tabs>
          <w:tab w:val="num" w:pos="5040"/>
        </w:tabs>
        <w:ind w:left="5040" w:hanging="360"/>
      </w:pPr>
      <w:rPr>
        <w:rFonts w:ascii="Wingdings 3" w:hAnsi="Wingdings 3" w:hint="default"/>
      </w:rPr>
    </w:lvl>
    <w:lvl w:ilvl="7" w:tplc="08A2A2E0" w:tentative="1">
      <w:start w:val="1"/>
      <w:numFmt w:val="bullet"/>
      <w:lvlText w:val=""/>
      <w:lvlJc w:val="left"/>
      <w:pPr>
        <w:tabs>
          <w:tab w:val="num" w:pos="5760"/>
        </w:tabs>
        <w:ind w:left="5760" w:hanging="360"/>
      </w:pPr>
      <w:rPr>
        <w:rFonts w:ascii="Wingdings 3" w:hAnsi="Wingdings 3" w:hint="default"/>
      </w:rPr>
    </w:lvl>
    <w:lvl w:ilvl="8" w:tplc="10422424"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0DEF451D"/>
    <w:multiLevelType w:val="hybridMultilevel"/>
    <w:tmpl w:val="B716716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5743D8F"/>
    <w:multiLevelType w:val="multilevel"/>
    <w:tmpl w:val="98A8DCFA"/>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 w15:restartNumberingAfterBreak="0">
    <w:nsid w:val="1AA72204"/>
    <w:multiLevelType w:val="hybridMultilevel"/>
    <w:tmpl w:val="30CEC06C"/>
    <w:lvl w:ilvl="0" w:tplc="A5B489BA">
      <w:start w:val="1"/>
      <w:numFmt w:val="bullet"/>
      <w:lvlText w:val=""/>
      <w:lvlJc w:val="left"/>
      <w:pPr>
        <w:ind w:left="1077" w:hanging="360"/>
      </w:pPr>
      <w:rPr>
        <w:rFonts w:ascii="Symbol" w:hAnsi="Symbol" w:hint="default"/>
        <w:color w:val="auto"/>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4" w15:restartNumberingAfterBreak="0">
    <w:nsid w:val="1BE55534"/>
    <w:multiLevelType w:val="multilevel"/>
    <w:tmpl w:val="54E2BFFC"/>
    <w:lvl w:ilvl="0">
      <w:start w:val="1"/>
      <w:numFmt w:val="bullet"/>
      <w:pStyle w:val="BulletedListLevel2"/>
      <w:lvlText w:val="○"/>
      <w:lvlJc w:val="left"/>
      <w:pPr>
        <w:tabs>
          <w:tab w:val="num" w:pos="1134"/>
        </w:tabs>
        <w:ind w:left="1134" w:hanging="567"/>
      </w:pPr>
      <w:rPr>
        <w:rFonts w:ascii="Times New Roman" w:hAnsi="Times New Roman" w:cs="Times New Roman" w:hint="default"/>
        <w:sz w:val="22"/>
      </w:rPr>
    </w:lvl>
    <w:lvl w:ilvl="1">
      <w:start w:val="1"/>
      <w:numFmt w:val="bullet"/>
      <w:lvlText w:val="o"/>
      <w:lvlJc w:val="left"/>
      <w:pPr>
        <w:tabs>
          <w:tab w:val="num" w:pos="1701"/>
        </w:tabs>
        <w:ind w:left="1701" w:hanging="567"/>
      </w:pPr>
      <w:rPr>
        <w:rFonts w:ascii="Courier New" w:hAnsi="Courier New" w:hint="default"/>
      </w:rPr>
    </w:lvl>
    <w:lvl w:ilvl="2">
      <w:start w:val="1"/>
      <w:numFmt w:val="bullet"/>
      <w:lvlText w:val=""/>
      <w:lvlJc w:val="left"/>
      <w:pPr>
        <w:tabs>
          <w:tab w:val="num" w:pos="2268"/>
        </w:tabs>
        <w:ind w:left="2268" w:hanging="567"/>
      </w:pPr>
      <w:rPr>
        <w:rFonts w:ascii="Symbol" w:hAnsi="Symbol" w:hint="default"/>
      </w:rPr>
    </w:lvl>
    <w:lvl w:ilvl="3">
      <w:start w:val="1"/>
      <w:numFmt w:val="bullet"/>
      <w:lvlText w:val=""/>
      <w:lvlJc w:val="left"/>
      <w:pPr>
        <w:tabs>
          <w:tab w:val="num" w:pos="2007"/>
        </w:tabs>
        <w:ind w:left="2007" w:hanging="360"/>
      </w:pPr>
      <w:rPr>
        <w:rFonts w:ascii="Symbol" w:hAnsi="Symbol" w:hint="default"/>
      </w:rPr>
    </w:lvl>
    <w:lvl w:ilvl="4">
      <w:start w:val="1"/>
      <w:numFmt w:val="bullet"/>
      <w:lvlText w:val=""/>
      <w:lvlJc w:val="left"/>
      <w:pPr>
        <w:tabs>
          <w:tab w:val="num" w:pos="2367"/>
        </w:tabs>
        <w:ind w:left="2367" w:hanging="360"/>
      </w:pPr>
      <w:rPr>
        <w:rFonts w:ascii="Symbol" w:hAnsi="Symbol" w:hint="default"/>
      </w:rPr>
    </w:lvl>
    <w:lvl w:ilvl="5">
      <w:start w:val="1"/>
      <w:numFmt w:val="bullet"/>
      <w:lvlText w:val=""/>
      <w:lvlJc w:val="left"/>
      <w:pPr>
        <w:tabs>
          <w:tab w:val="num" w:pos="2727"/>
        </w:tabs>
        <w:ind w:left="2727" w:hanging="360"/>
      </w:pPr>
      <w:rPr>
        <w:rFonts w:ascii="Wingdings" w:hAnsi="Wingdings" w:hint="default"/>
      </w:rPr>
    </w:lvl>
    <w:lvl w:ilvl="6">
      <w:start w:val="1"/>
      <w:numFmt w:val="bullet"/>
      <w:lvlText w:val=""/>
      <w:lvlJc w:val="left"/>
      <w:pPr>
        <w:tabs>
          <w:tab w:val="num" w:pos="3087"/>
        </w:tabs>
        <w:ind w:left="3087" w:hanging="360"/>
      </w:pPr>
      <w:rPr>
        <w:rFonts w:ascii="Wingdings" w:hAnsi="Wingdings" w:hint="default"/>
      </w:rPr>
    </w:lvl>
    <w:lvl w:ilvl="7">
      <w:start w:val="1"/>
      <w:numFmt w:val="bullet"/>
      <w:lvlText w:val=""/>
      <w:lvlJc w:val="left"/>
      <w:pPr>
        <w:tabs>
          <w:tab w:val="num" w:pos="3447"/>
        </w:tabs>
        <w:ind w:left="3447" w:hanging="360"/>
      </w:pPr>
      <w:rPr>
        <w:rFonts w:ascii="Symbol" w:hAnsi="Symbol" w:hint="default"/>
      </w:rPr>
    </w:lvl>
    <w:lvl w:ilvl="8">
      <w:start w:val="1"/>
      <w:numFmt w:val="bullet"/>
      <w:lvlText w:val=""/>
      <w:lvlJc w:val="left"/>
      <w:pPr>
        <w:tabs>
          <w:tab w:val="num" w:pos="3807"/>
        </w:tabs>
        <w:ind w:left="3807" w:hanging="360"/>
      </w:pPr>
      <w:rPr>
        <w:rFonts w:ascii="Symbol" w:hAnsi="Symbol" w:hint="default"/>
      </w:rPr>
    </w:lvl>
  </w:abstractNum>
  <w:abstractNum w:abstractNumId="5" w15:restartNumberingAfterBreak="0">
    <w:nsid w:val="2BA92CAC"/>
    <w:multiLevelType w:val="multilevel"/>
    <w:tmpl w:val="E12E4322"/>
    <w:lvl w:ilvl="0">
      <w:start w:val="1"/>
      <w:numFmt w:val="decimal"/>
      <w:lvlText w:val="%1"/>
      <w:lvlJc w:val="left"/>
      <w:pPr>
        <w:tabs>
          <w:tab w:val="num" w:pos="1134"/>
        </w:tabs>
        <w:ind w:left="1134" w:hanging="567"/>
      </w:pPr>
      <w:rPr>
        <w:rFonts w:hint="default"/>
        <w:color w:val="auto"/>
      </w:rPr>
    </w:lvl>
    <w:lvl w:ilvl="1">
      <w:start w:val="1"/>
      <w:numFmt w:val="bullet"/>
      <w:lvlText w:val="o"/>
      <w:lvlJc w:val="left"/>
      <w:pPr>
        <w:tabs>
          <w:tab w:val="num" w:pos="1701"/>
        </w:tabs>
        <w:ind w:left="1701" w:hanging="567"/>
      </w:pPr>
      <w:rPr>
        <w:rFonts w:ascii="Courier New" w:hAnsi="Courier New" w:hint="default"/>
      </w:rPr>
    </w:lvl>
    <w:lvl w:ilvl="2">
      <w:start w:val="1"/>
      <w:numFmt w:val="bullet"/>
      <w:lvlText w:val=""/>
      <w:lvlJc w:val="left"/>
      <w:pPr>
        <w:tabs>
          <w:tab w:val="num" w:pos="2268"/>
        </w:tabs>
        <w:ind w:left="2268" w:hanging="567"/>
      </w:pPr>
      <w:rPr>
        <w:rFonts w:ascii="Symbol" w:hAnsi="Symbol" w:hint="default"/>
      </w:rPr>
    </w:lvl>
    <w:lvl w:ilvl="3">
      <w:start w:val="1"/>
      <w:numFmt w:val="bullet"/>
      <w:lvlText w:val=""/>
      <w:lvlJc w:val="left"/>
      <w:pPr>
        <w:tabs>
          <w:tab w:val="num" w:pos="2007"/>
        </w:tabs>
        <w:ind w:left="2007" w:hanging="360"/>
      </w:pPr>
      <w:rPr>
        <w:rFonts w:ascii="Symbol" w:hAnsi="Symbol" w:hint="default"/>
      </w:rPr>
    </w:lvl>
    <w:lvl w:ilvl="4">
      <w:start w:val="1"/>
      <w:numFmt w:val="bullet"/>
      <w:lvlText w:val=""/>
      <w:lvlJc w:val="left"/>
      <w:pPr>
        <w:tabs>
          <w:tab w:val="num" w:pos="2367"/>
        </w:tabs>
        <w:ind w:left="2367" w:hanging="360"/>
      </w:pPr>
      <w:rPr>
        <w:rFonts w:ascii="Symbol" w:hAnsi="Symbol" w:hint="default"/>
      </w:rPr>
    </w:lvl>
    <w:lvl w:ilvl="5">
      <w:start w:val="1"/>
      <w:numFmt w:val="bullet"/>
      <w:lvlText w:val=""/>
      <w:lvlJc w:val="left"/>
      <w:pPr>
        <w:tabs>
          <w:tab w:val="num" w:pos="2727"/>
        </w:tabs>
        <w:ind w:left="2727" w:hanging="360"/>
      </w:pPr>
      <w:rPr>
        <w:rFonts w:ascii="Wingdings" w:hAnsi="Wingdings" w:hint="default"/>
      </w:rPr>
    </w:lvl>
    <w:lvl w:ilvl="6">
      <w:start w:val="1"/>
      <w:numFmt w:val="bullet"/>
      <w:lvlText w:val=""/>
      <w:lvlJc w:val="left"/>
      <w:pPr>
        <w:tabs>
          <w:tab w:val="num" w:pos="3087"/>
        </w:tabs>
        <w:ind w:left="3087" w:hanging="360"/>
      </w:pPr>
      <w:rPr>
        <w:rFonts w:ascii="Wingdings" w:hAnsi="Wingdings" w:hint="default"/>
      </w:rPr>
    </w:lvl>
    <w:lvl w:ilvl="7">
      <w:start w:val="1"/>
      <w:numFmt w:val="bullet"/>
      <w:lvlText w:val=""/>
      <w:lvlJc w:val="left"/>
      <w:pPr>
        <w:tabs>
          <w:tab w:val="num" w:pos="3447"/>
        </w:tabs>
        <w:ind w:left="3447" w:hanging="360"/>
      </w:pPr>
      <w:rPr>
        <w:rFonts w:ascii="Symbol" w:hAnsi="Symbol" w:hint="default"/>
      </w:rPr>
    </w:lvl>
    <w:lvl w:ilvl="8">
      <w:start w:val="1"/>
      <w:numFmt w:val="bullet"/>
      <w:lvlText w:val=""/>
      <w:lvlJc w:val="left"/>
      <w:pPr>
        <w:tabs>
          <w:tab w:val="num" w:pos="3807"/>
        </w:tabs>
        <w:ind w:left="3807" w:hanging="360"/>
      </w:pPr>
      <w:rPr>
        <w:rFonts w:ascii="Symbol" w:hAnsi="Symbol" w:hint="default"/>
      </w:rPr>
    </w:lvl>
  </w:abstractNum>
  <w:abstractNum w:abstractNumId="6" w15:restartNumberingAfterBreak="0">
    <w:nsid w:val="2DE018D7"/>
    <w:multiLevelType w:val="hybridMultilevel"/>
    <w:tmpl w:val="7504ABE0"/>
    <w:lvl w:ilvl="0" w:tplc="35BA8A22">
      <w:start w:val="1"/>
      <w:numFmt w:val="bullet"/>
      <w:pStyle w:val="TableBulletedLis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155AB7"/>
    <w:multiLevelType w:val="hybridMultilevel"/>
    <w:tmpl w:val="B82E6F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5344B79"/>
    <w:multiLevelType w:val="hybridMultilevel"/>
    <w:tmpl w:val="263A086A"/>
    <w:lvl w:ilvl="0" w:tplc="84E252C8">
      <w:start w:val="1"/>
      <w:numFmt w:val="bullet"/>
      <w:lvlText w:val="­"/>
      <w:lvlJc w:val="left"/>
      <w:pPr>
        <w:ind w:left="1080" w:hanging="360"/>
      </w:pPr>
      <w:rPr>
        <w:rFonts w:ascii="Courier New" w:hAnsi="Courier New" w:hint="default"/>
      </w:rPr>
    </w:lvl>
    <w:lvl w:ilvl="1" w:tplc="84E252C8">
      <w:start w:val="1"/>
      <w:numFmt w:val="bullet"/>
      <w:lvlText w:val="­"/>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8A00409"/>
    <w:multiLevelType w:val="hybridMultilevel"/>
    <w:tmpl w:val="869A4A92"/>
    <w:lvl w:ilvl="0" w:tplc="04090001">
      <w:start w:val="1"/>
      <w:numFmt w:val="bullet"/>
      <w:lvlText w:val=""/>
      <w:lvlJc w:val="left"/>
      <w:pPr>
        <w:ind w:left="720" w:hanging="360"/>
      </w:pPr>
      <w:rPr>
        <w:rFonts w:ascii="Symbol" w:hAnsi="Symbol" w:hint="default"/>
      </w:rPr>
    </w:lvl>
    <w:lvl w:ilvl="1" w:tplc="84E252C8">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BF31ED"/>
    <w:multiLevelType w:val="multilevel"/>
    <w:tmpl w:val="F69C5916"/>
    <w:lvl w:ilvl="0">
      <w:start w:val="1"/>
      <w:numFmt w:val="decimal"/>
      <w:lvlText w:val="%1"/>
      <w:lvlJc w:val="left"/>
      <w:pPr>
        <w:tabs>
          <w:tab w:val="num" w:pos="1134"/>
        </w:tabs>
        <w:ind w:left="1134" w:hanging="567"/>
      </w:pPr>
      <w:rPr>
        <w:rFonts w:hint="default"/>
        <w:color w:val="auto"/>
      </w:rPr>
    </w:lvl>
    <w:lvl w:ilvl="1">
      <w:start w:val="1"/>
      <w:numFmt w:val="lowerRoman"/>
      <w:lvlText w:val="%2."/>
      <w:lvlJc w:val="right"/>
      <w:pPr>
        <w:tabs>
          <w:tab w:val="num" w:pos="1701"/>
        </w:tabs>
        <w:ind w:left="1701" w:hanging="567"/>
      </w:pPr>
      <w:rPr>
        <w:rFonts w:hint="default"/>
      </w:rPr>
    </w:lvl>
    <w:lvl w:ilvl="2">
      <w:start w:val="1"/>
      <w:numFmt w:val="bullet"/>
      <w:lvlText w:val=""/>
      <w:lvlJc w:val="left"/>
      <w:pPr>
        <w:tabs>
          <w:tab w:val="num" w:pos="2268"/>
        </w:tabs>
        <w:ind w:left="2268" w:hanging="567"/>
      </w:pPr>
      <w:rPr>
        <w:rFonts w:ascii="Symbol" w:hAnsi="Symbol" w:hint="default"/>
      </w:rPr>
    </w:lvl>
    <w:lvl w:ilvl="3">
      <w:start w:val="1"/>
      <w:numFmt w:val="bullet"/>
      <w:lvlText w:val=""/>
      <w:lvlJc w:val="left"/>
      <w:pPr>
        <w:tabs>
          <w:tab w:val="num" w:pos="2007"/>
        </w:tabs>
        <w:ind w:left="2007" w:hanging="360"/>
      </w:pPr>
      <w:rPr>
        <w:rFonts w:ascii="Symbol" w:hAnsi="Symbol" w:hint="default"/>
      </w:rPr>
    </w:lvl>
    <w:lvl w:ilvl="4">
      <w:start w:val="1"/>
      <w:numFmt w:val="bullet"/>
      <w:lvlText w:val=""/>
      <w:lvlJc w:val="left"/>
      <w:pPr>
        <w:tabs>
          <w:tab w:val="num" w:pos="2367"/>
        </w:tabs>
        <w:ind w:left="2367" w:hanging="360"/>
      </w:pPr>
      <w:rPr>
        <w:rFonts w:ascii="Symbol" w:hAnsi="Symbol" w:hint="default"/>
      </w:rPr>
    </w:lvl>
    <w:lvl w:ilvl="5">
      <w:start w:val="1"/>
      <w:numFmt w:val="bullet"/>
      <w:lvlText w:val=""/>
      <w:lvlJc w:val="left"/>
      <w:pPr>
        <w:tabs>
          <w:tab w:val="num" w:pos="2727"/>
        </w:tabs>
        <w:ind w:left="2727" w:hanging="360"/>
      </w:pPr>
      <w:rPr>
        <w:rFonts w:ascii="Wingdings" w:hAnsi="Wingdings" w:hint="default"/>
      </w:rPr>
    </w:lvl>
    <w:lvl w:ilvl="6">
      <w:start w:val="1"/>
      <w:numFmt w:val="bullet"/>
      <w:lvlText w:val=""/>
      <w:lvlJc w:val="left"/>
      <w:pPr>
        <w:tabs>
          <w:tab w:val="num" w:pos="3087"/>
        </w:tabs>
        <w:ind w:left="3087" w:hanging="360"/>
      </w:pPr>
      <w:rPr>
        <w:rFonts w:ascii="Wingdings" w:hAnsi="Wingdings" w:hint="default"/>
      </w:rPr>
    </w:lvl>
    <w:lvl w:ilvl="7">
      <w:start w:val="1"/>
      <w:numFmt w:val="bullet"/>
      <w:lvlText w:val=""/>
      <w:lvlJc w:val="left"/>
      <w:pPr>
        <w:tabs>
          <w:tab w:val="num" w:pos="3447"/>
        </w:tabs>
        <w:ind w:left="3447" w:hanging="360"/>
      </w:pPr>
      <w:rPr>
        <w:rFonts w:ascii="Symbol" w:hAnsi="Symbol" w:hint="default"/>
      </w:rPr>
    </w:lvl>
    <w:lvl w:ilvl="8">
      <w:start w:val="1"/>
      <w:numFmt w:val="bullet"/>
      <w:lvlText w:val=""/>
      <w:lvlJc w:val="left"/>
      <w:pPr>
        <w:tabs>
          <w:tab w:val="num" w:pos="3807"/>
        </w:tabs>
        <w:ind w:left="3807" w:hanging="360"/>
      </w:pPr>
      <w:rPr>
        <w:rFonts w:ascii="Symbol" w:hAnsi="Symbol" w:hint="default"/>
      </w:rPr>
    </w:lvl>
  </w:abstractNum>
  <w:abstractNum w:abstractNumId="11" w15:restartNumberingAfterBreak="0">
    <w:nsid w:val="3E587EC9"/>
    <w:multiLevelType w:val="hybridMultilevel"/>
    <w:tmpl w:val="D6A031B0"/>
    <w:lvl w:ilvl="0" w:tplc="A2C83F32">
      <w:start w:val="1"/>
      <w:numFmt w:val="bullet"/>
      <w:lvlText w:val=""/>
      <w:lvlJc w:val="left"/>
      <w:pPr>
        <w:ind w:left="360" w:hanging="360"/>
      </w:pPr>
      <w:rPr>
        <w:rFonts w:ascii="Symbol" w:hAnsi="Symbol" w:hint="default"/>
        <w:color w:val="auto"/>
      </w:rPr>
    </w:lvl>
    <w:lvl w:ilvl="1" w:tplc="84E252C8">
      <w:start w:val="1"/>
      <w:numFmt w:val="bullet"/>
      <w:lvlText w:val="­"/>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2C96AB9"/>
    <w:multiLevelType w:val="hybridMultilevel"/>
    <w:tmpl w:val="1242F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CB4E4A"/>
    <w:multiLevelType w:val="hybridMultilevel"/>
    <w:tmpl w:val="43581B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C7452BD"/>
    <w:multiLevelType w:val="hybridMultilevel"/>
    <w:tmpl w:val="CB563CA0"/>
    <w:lvl w:ilvl="0" w:tplc="84E252C8">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D241CA3"/>
    <w:multiLevelType w:val="hybridMultilevel"/>
    <w:tmpl w:val="8E6C3208"/>
    <w:lvl w:ilvl="0" w:tplc="FFFFFFFF">
      <w:start w:val="1"/>
      <w:numFmt w:val="bullet"/>
      <w:lvlText w:val=""/>
      <w:lvlJc w:val="left"/>
      <w:pPr>
        <w:tabs>
          <w:tab w:val="num" w:pos="720"/>
        </w:tabs>
        <w:ind w:left="720" w:hanging="360"/>
      </w:pPr>
      <w:rPr>
        <w:rFonts w:ascii="Wingdings 3" w:hAnsi="Wingdings 3"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3" w:hAnsi="Wingdings 3" w:hint="default"/>
      </w:rPr>
    </w:lvl>
    <w:lvl w:ilvl="3" w:tplc="FFFFFFFF" w:tentative="1">
      <w:start w:val="1"/>
      <w:numFmt w:val="bullet"/>
      <w:lvlText w:val=""/>
      <w:lvlJc w:val="left"/>
      <w:pPr>
        <w:tabs>
          <w:tab w:val="num" w:pos="2880"/>
        </w:tabs>
        <w:ind w:left="2880" w:hanging="360"/>
      </w:pPr>
      <w:rPr>
        <w:rFonts w:ascii="Wingdings 3" w:hAnsi="Wingdings 3" w:hint="default"/>
      </w:rPr>
    </w:lvl>
    <w:lvl w:ilvl="4" w:tplc="FFFFFFFF" w:tentative="1">
      <w:start w:val="1"/>
      <w:numFmt w:val="bullet"/>
      <w:lvlText w:val=""/>
      <w:lvlJc w:val="left"/>
      <w:pPr>
        <w:tabs>
          <w:tab w:val="num" w:pos="3600"/>
        </w:tabs>
        <w:ind w:left="3600" w:hanging="360"/>
      </w:pPr>
      <w:rPr>
        <w:rFonts w:ascii="Wingdings 3" w:hAnsi="Wingdings 3" w:hint="default"/>
      </w:rPr>
    </w:lvl>
    <w:lvl w:ilvl="5" w:tplc="FFFFFFFF" w:tentative="1">
      <w:start w:val="1"/>
      <w:numFmt w:val="bullet"/>
      <w:lvlText w:val=""/>
      <w:lvlJc w:val="left"/>
      <w:pPr>
        <w:tabs>
          <w:tab w:val="num" w:pos="4320"/>
        </w:tabs>
        <w:ind w:left="4320" w:hanging="360"/>
      </w:pPr>
      <w:rPr>
        <w:rFonts w:ascii="Wingdings 3" w:hAnsi="Wingdings 3" w:hint="default"/>
      </w:rPr>
    </w:lvl>
    <w:lvl w:ilvl="6" w:tplc="FFFFFFFF" w:tentative="1">
      <w:start w:val="1"/>
      <w:numFmt w:val="bullet"/>
      <w:lvlText w:val=""/>
      <w:lvlJc w:val="left"/>
      <w:pPr>
        <w:tabs>
          <w:tab w:val="num" w:pos="5040"/>
        </w:tabs>
        <w:ind w:left="5040" w:hanging="360"/>
      </w:pPr>
      <w:rPr>
        <w:rFonts w:ascii="Wingdings 3" w:hAnsi="Wingdings 3" w:hint="default"/>
      </w:rPr>
    </w:lvl>
    <w:lvl w:ilvl="7" w:tplc="FFFFFFFF" w:tentative="1">
      <w:start w:val="1"/>
      <w:numFmt w:val="bullet"/>
      <w:lvlText w:val=""/>
      <w:lvlJc w:val="left"/>
      <w:pPr>
        <w:tabs>
          <w:tab w:val="num" w:pos="5760"/>
        </w:tabs>
        <w:ind w:left="5760" w:hanging="360"/>
      </w:pPr>
      <w:rPr>
        <w:rFonts w:ascii="Wingdings 3" w:hAnsi="Wingdings 3" w:hint="default"/>
      </w:rPr>
    </w:lvl>
    <w:lvl w:ilvl="8" w:tplc="FFFFFFFF" w:tentative="1">
      <w:start w:val="1"/>
      <w:numFmt w:val="bullet"/>
      <w:lvlText w:val=""/>
      <w:lvlJc w:val="left"/>
      <w:pPr>
        <w:tabs>
          <w:tab w:val="num" w:pos="6480"/>
        </w:tabs>
        <w:ind w:left="6480" w:hanging="360"/>
      </w:pPr>
      <w:rPr>
        <w:rFonts w:ascii="Wingdings 3" w:hAnsi="Wingdings 3" w:hint="default"/>
      </w:rPr>
    </w:lvl>
  </w:abstractNum>
  <w:abstractNum w:abstractNumId="16" w15:restartNumberingAfterBreak="0">
    <w:nsid w:val="51847498"/>
    <w:multiLevelType w:val="hybridMultilevel"/>
    <w:tmpl w:val="DBC222C2"/>
    <w:lvl w:ilvl="0" w:tplc="0C090001">
      <w:start w:val="1"/>
      <w:numFmt w:val="bullet"/>
      <w:lvlText w:val=""/>
      <w:lvlJc w:val="left"/>
      <w:pPr>
        <w:ind w:left="720" w:hanging="360"/>
      </w:pPr>
      <w:rPr>
        <w:rFonts w:ascii="Symbol" w:hAnsi="Symbol" w:hint="default"/>
      </w:rPr>
    </w:lvl>
    <w:lvl w:ilvl="1" w:tplc="84E252C8">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1945458"/>
    <w:multiLevelType w:val="hybridMultilevel"/>
    <w:tmpl w:val="07D6E7A6"/>
    <w:lvl w:ilvl="0" w:tplc="8ED8675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5BC61B2"/>
    <w:multiLevelType w:val="multilevel"/>
    <w:tmpl w:val="8EEC6026"/>
    <w:lvl w:ilvl="0">
      <w:start w:val="1"/>
      <w:numFmt w:val="decimal"/>
      <w:lvlText w:val="%1"/>
      <w:lvlJc w:val="left"/>
      <w:pPr>
        <w:tabs>
          <w:tab w:val="num" w:pos="1134"/>
        </w:tabs>
        <w:ind w:left="1134" w:hanging="567"/>
      </w:pPr>
      <w:rPr>
        <w:rFonts w:hint="default"/>
        <w:color w:val="auto"/>
      </w:rPr>
    </w:lvl>
    <w:lvl w:ilvl="1">
      <w:start w:val="1"/>
      <w:numFmt w:val="upperRoman"/>
      <w:lvlText w:val="%2."/>
      <w:lvlJc w:val="right"/>
      <w:pPr>
        <w:tabs>
          <w:tab w:val="num" w:pos="1701"/>
        </w:tabs>
        <w:ind w:left="1701" w:hanging="567"/>
      </w:pPr>
      <w:rPr>
        <w:rFonts w:hint="default"/>
      </w:rPr>
    </w:lvl>
    <w:lvl w:ilvl="2">
      <w:start w:val="1"/>
      <w:numFmt w:val="bullet"/>
      <w:lvlText w:val=""/>
      <w:lvlJc w:val="left"/>
      <w:pPr>
        <w:tabs>
          <w:tab w:val="num" w:pos="2268"/>
        </w:tabs>
        <w:ind w:left="2268" w:hanging="567"/>
      </w:pPr>
      <w:rPr>
        <w:rFonts w:ascii="Symbol" w:hAnsi="Symbol" w:hint="default"/>
      </w:rPr>
    </w:lvl>
    <w:lvl w:ilvl="3">
      <w:start w:val="1"/>
      <w:numFmt w:val="bullet"/>
      <w:lvlText w:val=""/>
      <w:lvlJc w:val="left"/>
      <w:pPr>
        <w:tabs>
          <w:tab w:val="num" w:pos="2007"/>
        </w:tabs>
        <w:ind w:left="2007" w:hanging="360"/>
      </w:pPr>
      <w:rPr>
        <w:rFonts w:ascii="Symbol" w:hAnsi="Symbol" w:hint="default"/>
      </w:rPr>
    </w:lvl>
    <w:lvl w:ilvl="4">
      <w:start w:val="1"/>
      <w:numFmt w:val="bullet"/>
      <w:lvlText w:val=""/>
      <w:lvlJc w:val="left"/>
      <w:pPr>
        <w:tabs>
          <w:tab w:val="num" w:pos="2367"/>
        </w:tabs>
        <w:ind w:left="2367" w:hanging="360"/>
      </w:pPr>
      <w:rPr>
        <w:rFonts w:ascii="Symbol" w:hAnsi="Symbol" w:hint="default"/>
      </w:rPr>
    </w:lvl>
    <w:lvl w:ilvl="5">
      <w:start w:val="1"/>
      <w:numFmt w:val="bullet"/>
      <w:lvlText w:val=""/>
      <w:lvlJc w:val="left"/>
      <w:pPr>
        <w:tabs>
          <w:tab w:val="num" w:pos="2727"/>
        </w:tabs>
        <w:ind w:left="2727" w:hanging="360"/>
      </w:pPr>
      <w:rPr>
        <w:rFonts w:ascii="Wingdings" w:hAnsi="Wingdings" w:hint="default"/>
      </w:rPr>
    </w:lvl>
    <w:lvl w:ilvl="6">
      <w:start w:val="1"/>
      <w:numFmt w:val="bullet"/>
      <w:lvlText w:val=""/>
      <w:lvlJc w:val="left"/>
      <w:pPr>
        <w:tabs>
          <w:tab w:val="num" w:pos="3087"/>
        </w:tabs>
        <w:ind w:left="3087" w:hanging="360"/>
      </w:pPr>
      <w:rPr>
        <w:rFonts w:ascii="Wingdings" w:hAnsi="Wingdings" w:hint="default"/>
      </w:rPr>
    </w:lvl>
    <w:lvl w:ilvl="7">
      <w:start w:val="1"/>
      <w:numFmt w:val="bullet"/>
      <w:lvlText w:val=""/>
      <w:lvlJc w:val="left"/>
      <w:pPr>
        <w:tabs>
          <w:tab w:val="num" w:pos="3447"/>
        </w:tabs>
        <w:ind w:left="3447" w:hanging="360"/>
      </w:pPr>
      <w:rPr>
        <w:rFonts w:ascii="Symbol" w:hAnsi="Symbol" w:hint="default"/>
      </w:rPr>
    </w:lvl>
    <w:lvl w:ilvl="8">
      <w:start w:val="1"/>
      <w:numFmt w:val="bullet"/>
      <w:lvlText w:val=""/>
      <w:lvlJc w:val="left"/>
      <w:pPr>
        <w:tabs>
          <w:tab w:val="num" w:pos="3807"/>
        </w:tabs>
        <w:ind w:left="3807" w:hanging="360"/>
      </w:pPr>
      <w:rPr>
        <w:rFonts w:ascii="Symbol" w:hAnsi="Symbol" w:hint="default"/>
      </w:rPr>
    </w:lvl>
  </w:abstractNum>
  <w:abstractNum w:abstractNumId="19" w15:restartNumberingAfterBreak="0">
    <w:nsid w:val="61EF55A6"/>
    <w:multiLevelType w:val="multilevel"/>
    <w:tmpl w:val="52BA2C46"/>
    <w:lvl w:ilvl="0">
      <w:start w:val="1"/>
      <w:numFmt w:val="bullet"/>
      <w:pStyle w:val="BulletedIndentedafterNumber"/>
      <w:lvlText w:val=""/>
      <w:lvlJc w:val="left"/>
      <w:pPr>
        <w:tabs>
          <w:tab w:val="num" w:pos="1134"/>
        </w:tabs>
        <w:ind w:left="1134" w:hanging="567"/>
      </w:pPr>
      <w:rPr>
        <w:rFonts w:ascii="Symbol" w:hAnsi="Symbol" w:hint="default"/>
        <w:color w:val="auto"/>
        <w:sz w:val="2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647"/>
        </w:tabs>
        <w:ind w:left="1647" w:hanging="360"/>
      </w:pPr>
      <w:rPr>
        <w:rFonts w:ascii="Wingdings" w:hAnsi="Wingdings" w:hint="default"/>
      </w:rPr>
    </w:lvl>
    <w:lvl w:ilvl="3">
      <w:start w:val="1"/>
      <w:numFmt w:val="bullet"/>
      <w:lvlText w:val=""/>
      <w:lvlJc w:val="left"/>
      <w:pPr>
        <w:tabs>
          <w:tab w:val="num" w:pos="2007"/>
        </w:tabs>
        <w:ind w:left="2007" w:hanging="360"/>
      </w:pPr>
      <w:rPr>
        <w:rFonts w:ascii="Symbol" w:hAnsi="Symbol" w:hint="default"/>
      </w:rPr>
    </w:lvl>
    <w:lvl w:ilvl="4">
      <w:start w:val="1"/>
      <w:numFmt w:val="bullet"/>
      <w:lvlText w:val=""/>
      <w:lvlJc w:val="left"/>
      <w:pPr>
        <w:tabs>
          <w:tab w:val="num" w:pos="2367"/>
        </w:tabs>
        <w:ind w:left="2367" w:hanging="360"/>
      </w:pPr>
      <w:rPr>
        <w:rFonts w:ascii="Symbol" w:hAnsi="Symbol" w:hint="default"/>
      </w:rPr>
    </w:lvl>
    <w:lvl w:ilvl="5">
      <w:start w:val="1"/>
      <w:numFmt w:val="bullet"/>
      <w:lvlText w:val=""/>
      <w:lvlJc w:val="left"/>
      <w:pPr>
        <w:tabs>
          <w:tab w:val="num" w:pos="2727"/>
        </w:tabs>
        <w:ind w:left="2727" w:hanging="360"/>
      </w:pPr>
      <w:rPr>
        <w:rFonts w:ascii="Wingdings" w:hAnsi="Wingdings" w:hint="default"/>
      </w:rPr>
    </w:lvl>
    <w:lvl w:ilvl="6">
      <w:start w:val="1"/>
      <w:numFmt w:val="bullet"/>
      <w:lvlText w:val=""/>
      <w:lvlJc w:val="left"/>
      <w:pPr>
        <w:tabs>
          <w:tab w:val="num" w:pos="3087"/>
        </w:tabs>
        <w:ind w:left="3087" w:hanging="360"/>
      </w:pPr>
      <w:rPr>
        <w:rFonts w:ascii="Wingdings" w:hAnsi="Wingdings" w:hint="default"/>
      </w:rPr>
    </w:lvl>
    <w:lvl w:ilvl="7">
      <w:start w:val="1"/>
      <w:numFmt w:val="bullet"/>
      <w:lvlText w:val=""/>
      <w:lvlJc w:val="left"/>
      <w:pPr>
        <w:tabs>
          <w:tab w:val="num" w:pos="3447"/>
        </w:tabs>
        <w:ind w:left="3447" w:hanging="360"/>
      </w:pPr>
      <w:rPr>
        <w:rFonts w:ascii="Symbol" w:hAnsi="Symbol" w:hint="default"/>
      </w:rPr>
    </w:lvl>
    <w:lvl w:ilvl="8">
      <w:start w:val="1"/>
      <w:numFmt w:val="bullet"/>
      <w:lvlText w:val=""/>
      <w:lvlJc w:val="left"/>
      <w:pPr>
        <w:tabs>
          <w:tab w:val="num" w:pos="3807"/>
        </w:tabs>
        <w:ind w:left="3807" w:hanging="360"/>
      </w:pPr>
      <w:rPr>
        <w:rFonts w:ascii="Symbol" w:hAnsi="Symbol" w:hint="default"/>
      </w:rPr>
    </w:lvl>
  </w:abstractNum>
  <w:abstractNum w:abstractNumId="20" w15:restartNumberingAfterBreak="0">
    <w:nsid w:val="62080D46"/>
    <w:multiLevelType w:val="hybridMultilevel"/>
    <w:tmpl w:val="E0E09D5E"/>
    <w:lvl w:ilvl="0" w:tplc="04090001">
      <w:start w:val="1"/>
      <w:numFmt w:val="bullet"/>
      <w:lvlText w:val=""/>
      <w:lvlJc w:val="left"/>
      <w:pPr>
        <w:ind w:left="720" w:hanging="360"/>
      </w:pPr>
      <w:rPr>
        <w:rFonts w:ascii="Symbol" w:hAnsi="Symbol" w:hint="default"/>
      </w:rPr>
    </w:lvl>
    <w:lvl w:ilvl="1" w:tplc="84E252C8">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56567A"/>
    <w:multiLevelType w:val="hybridMultilevel"/>
    <w:tmpl w:val="C7BCF462"/>
    <w:lvl w:ilvl="0" w:tplc="A4AA9904">
      <w:start w:val="1"/>
      <w:numFmt w:val="decimal"/>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3353021"/>
    <w:multiLevelType w:val="hybridMultilevel"/>
    <w:tmpl w:val="151AECD4"/>
    <w:lvl w:ilvl="0" w:tplc="84E252C8">
      <w:start w:val="1"/>
      <w:numFmt w:val="bullet"/>
      <w:lvlText w:val="­"/>
      <w:lvlJc w:val="left"/>
      <w:pPr>
        <w:ind w:left="720" w:hanging="360"/>
      </w:pPr>
      <w:rPr>
        <w:rFonts w:ascii="Courier New" w:hAnsi="Courier New" w:hint="default"/>
      </w:rPr>
    </w:lvl>
    <w:lvl w:ilvl="1" w:tplc="84E252C8">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AE3F83"/>
    <w:multiLevelType w:val="hybridMultilevel"/>
    <w:tmpl w:val="830CCA2A"/>
    <w:lvl w:ilvl="0" w:tplc="0C090003">
      <w:start w:val="1"/>
      <w:numFmt w:val="bullet"/>
      <w:lvlText w:val="o"/>
      <w:lvlJc w:val="left"/>
      <w:pPr>
        <w:ind w:left="1287" w:hanging="360"/>
      </w:pPr>
      <w:rPr>
        <w:rFonts w:ascii="Courier New" w:hAnsi="Courier New" w:cs="Courier New"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4" w15:restartNumberingAfterBreak="0">
    <w:nsid w:val="6D9960F4"/>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EB204FD"/>
    <w:multiLevelType w:val="hybridMultilevel"/>
    <w:tmpl w:val="E9E48976"/>
    <w:lvl w:ilvl="0" w:tplc="0C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320001"/>
    <w:multiLevelType w:val="multilevel"/>
    <w:tmpl w:val="99086972"/>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0B656EC"/>
    <w:multiLevelType w:val="multilevel"/>
    <w:tmpl w:val="2330516E"/>
    <w:lvl w:ilvl="0">
      <w:start w:val="1"/>
      <w:numFmt w:val="bullet"/>
      <w:pStyle w:val="BulletedListLevel3"/>
      <w:lvlText w:val=""/>
      <w:lvlJc w:val="left"/>
      <w:pPr>
        <w:tabs>
          <w:tab w:val="num" w:pos="1701"/>
        </w:tabs>
        <w:ind w:left="1701" w:hanging="567"/>
      </w:pPr>
      <w:rPr>
        <w:rFonts w:ascii="Symbol" w:hAnsi="Symbol" w:hint="default"/>
      </w:rPr>
    </w:lvl>
    <w:lvl w:ilvl="1">
      <w:start w:val="1"/>
      <w:numFmt w:val="bullet"/>
      <w:lvlText w:val="o"/>
      <w:lvlJc w:val="left"/>
      <w:pPr>
        <w:tabs>
          <w:tab w:val="num" w:pos="2268"/>
        </w:tabs>
        <w:ind w:left="2268" w:hanging="567"/>
      </w:pPr>
      <w:rPr>
        <w:rFonts w:ascii="Courier New" w:hAnsi="Courier New" w:hint="default"/>
      </w:rPr>
    </w:lvl>
    <w:lvl w:ilvl="2">
      <w:start w:val="1"/>
      <w:numFmt w:val="bullet"/>
      <w:lvlText w:val=""/>
      <w:lvlJc w:val="left"/>
      <w:pPr>
        <w:tabs>
          <w:tab w:val="num" w:pos="2835"/>
        </w:tabs>
        <w:ind w:left="2835" w:hanging="567"/>
      </w:pPr>
      <w:rPr>
        <w:rFonts w:ascii="Symbol" w:hAnsi="Symbol" w:hint="default"/>
      </w:rPr>
    </w:lvl>
    <w:lvl w:ilvl="3">
      <w:start w:val="1"/>
      <w:numFmt w:val="bullet"/>
      <w:lvlText w:val=""/>
      <w:lvlJc w:val="left"/>
      <w:pPr>
        <w:tabs>
          <w:tab w:val="num" w:pos="2574"/>
        </w:tabs>
        <w:ind w:left="2574" w:hanging="360"/>
      </w:pPr>
      <w:rPr>
        <w:rFonts w:ascii="Symbol" w:hAnsi="Symbol" w:hint="default"/>
      </w:rPr>
    </w:lvl>
    <w:lvl w:ilvl="4">
      <w:start w:val="1"/>
      <w:numFmt w:val="bullet"/>
      <w:lvlText w:val=""/>
      <w:lvlJc w:val="left"/>
      <w:pPr>
        <w:tabs>
          <w:tab w:val="num" w:pos="2934"/>
        </w:tabs>
        <w:ind w:left="2934" w:hanging="360"/>
      </w:pPr>
      <w:rPr>
        <w:rFonts w:ascii="Symbol" w:hAnsi="Symbol" w:hint="default"/>
      </w:rPr>
    </w:lvl>
    <w:lvl w:ilvl="5">
      <w:start w:val="1"/>
      <w:numFmt w:val="bullet"/>
      <w:lvlText w:val=""/>
      <w:lvlJc w:val="left"/>
      <w:pPr>
        <w:tabs>
          <w:tab w:val="num" w:pos="3294"/>
        </w:tabs>
        <w:ind w:left="3294" w:hanging="360"/>
      </w:pPr>
      <w:rPr>
        <w:rFonts w:ascii="Wingdings" w:hAnsi="Wingdings" w:hint="default"/>
      </w:rPr>
    </w:lvl>
    <w:lvl w:ilvl="6">
      <w:start w:val="1"/>
      <w:numFmt w:val="bullet"/>
      <w:lvlText w:val=""/>
      <w:lvlJc w:val="left"/>
      <w:pPr>
        <w:tabs>
          <w:tab w:val="num" w:pos="3654"/>
        </w:tabs>
        <w:ind w:left="3654" w:hanging="360"/>
      </w:pPr>
      <w:rPr>
        <w:rFonts w:ascii="Wingdings" w:hAnsi="Wingdings" w:hint="default"/>
      </w:rPr>
    </w:lvl>
    <w:lvl w:ilvl="7">
      <w:start w:val="1"/>
      <w:numFmt w:val="bullet"/>
      <w:lvlText w:val=""/>
      <w:lvlJc w:val="left"/>
      <w:pPr>
        <w:tabs>
          <w:tab w:val="num" w:pos="4014"/>
        </w:tabs>
        <w:ind w:left="4014" w:hanging="360"/>
      </w:pPr>
      <w:rPr>
        <w:rFonts w:ascii="Symbol" w:hAnsi="Symbol" w:hint="default"/>
      </w:rPr>
    </w:lvl>
    <w:lvl w:ilvl="8">
      <w:start w:val="1"/>
      <w:numFmt w:val="bullet"/>
      <w:lvlText w:val=""/>
      <w:lvlJc w:val="left"/>
      <w:pPr>
        <w:tabs>
          <w:tab w:val="num" w:pos="4374"/>
        </w:tabs>
        <w:ind w:left="4374" w:hanging="360"/>
      </w:pPr>
      <w:rPr>
        <w:rFonts w:ascii="Symbol" w:hAnsi="Symbol" w:hint="default"/>
      </w:rPr>
    </w:lvl>
  </w:abstractNum>
  <w:abstractNum w:abstractNumId="28" w15:restartNumberingAfterBreak="0">
    <w:nsid w:val="732C32C8"/>
    <w:multiLevelType w:val="hybridMultilevel"/>
    <w:tmpl w:val="A3D47324"/>
    <w:lvl w:ilvl="0" w:tplc="E3421176">
      <w:start w:val="1"/>
      <w:numFmt w:val="bullet"/>
      <w:lvlText w:val=""/>
      <w:lvlJc w:val="left"/>
      <w:pPr>
        <w:tabs>
          <w:tab w:val="num" w:pos="720"/>
        </w:tabs>
        <w:ind w:left="720" w:hanging="360"/>
      </w:pPr>
      <w:rPr>
        <w:rFonts w:ascii="Wingdings 3" w:hAnsi="Wingdings 3" w:hint="default"/>
      </w:rPr>
    </w:lvl>
    <w:lvl w:ilvl="1" w:tplc="E938C3A2">
      <w:start w:val="1"/>
      <w:numFmt w:val="bullet"/>
      <w:lvlText w:val=""/>
      <w:lvlJc w:val="left"/>
      <w:pPr>
        <w:tabs>
          <w:tab w:val="num" w:pos="1440"/>
        </w:tabs>
        <w:ind w:left="1440" w:hanging="360"/>
      </w:pPr>
      <w:rPr>
        <w:rFonts w:ascii="Symbol" w:hAnsi="Symbol" w:hint="default"/>
      </w:rPr>
    </w:lvl>
    <w:lvl w:ilvl="2" w:tplc="956275EE">
      <w:start w:val="1"/>
      <w:numFmt w:val="bullet"/>
      <w:lvlText w:val=""/>
      <w:lvlJc w:val="left"/>
      <w:pPr>
        <w:tabs>
          <w:tab w:val="num" w:pos="2160"/>
        </w:tabs>
        <w:ind w:left="2160" w:hanging="360"/>
      </w:pPr>
      <w:rPr>
        <w:rFonts w:ascii="Wingdings 3" w:hAnsi="Wingdings 3" w:hint="default"/>
      </w:rPr>
    </w:lvl>
    <w:lvl w:ilvl="3" w:tplc="9DD8CE64" w:tentative="1">
      <w:start w:val="1"/>
      <w:numFmt w:val="bullet"/>
      <w:lvlText w:val=""/>
      <w:lvlJc w:val="left"/>
      <w:pPr>
        <w:tabs>
          <w:tab w:val="num" w:pos="2880"/>
        </w:tabs>
        <w:ind w:left="2880" w:hanging="360"/>
      </w:pPr>
      <w:rPr>
        <w:rFonts w:ascii="Wingdings 3" w:hAnsi="Wingdings 3" w:hint="default"/>
      </w:rPr>
    </w:lvl>
    <w:lvl w:ilvl="4" w:tplc="6726950E" w:tentative="1">
      <w:start w:val="1"/>
      <w:numFmt w:val="bullet"/>
      <w:lvlText w:val=""/>
      <w:lvlJc w:val="left"/>
      <w:pPr>
        <w:tabs>
          <w:tab w:val="num" w:pos="3600"/>
        </w:tabs>
        <w:ind w:left="3600" w:hanging="360"/>
      </w:pPr>
      <w:rPr>
        <w:rFonts w:ascii="Wingdings 3" w:hAnsi="Wingdings 3" w:hint="default"/>
      </w:rPr>
    </w:lvl>
    <w:lvl w:ilvl="5" w:tplc="DC2ABE68" w:tentative="1">
      <w:start w:val="1"/>
      <w:numFmt w:val="bullet"/>
      <w:lvlText w:val=""/>
      <w:lvlJc w:val="left"/>
      <w:pPr>
        <w:tabs>
          <w:tab w:val="num" w:pos="4320"/>
        </w:tabs>
        <w:ind w:left="4320" w:hanging="360"/>
      </w:pPr>
      <w:rPr>
        <w:rFonts w:ascii="Wingdings 3" w:hAnsi="Wingdings 3" w:hint="default"/>
      </w:rPr>
    </w:lvl>
    <w:lvl w:ilvl="6" w:tplc="0FE63CE2" w:tentative="1">
      <w:start w:val="1"/>
      <w:numFmt w:val="bullet"/>
      <w:lvlText w:val=""/>
      <w:lvlJc w:val="left"/>
      <w:pPr>
        <w:tabs>
          <w:tab w:val="num" w:pos="5040"/>
        </w:tabs>
        <w:ind w:left="5040" w:hanging="360"/>
      </w:pPr>
      <w:rPr>
        <w:rFonts w:ascii="Wingdings 3" w:hAnsi="Wingdings 3" w:hint="default"/>
      </w:rPr>
    </w:lvl>
    <w:lvl w:ilvl="7" w:tplc="08A2A2E0" w:tentative="1">
      <w:start w:val="1"/>
      <w:numFmt w:val="bullet"/>
      <w:lvlText w:val=""/>
      <w:lvlJc w:val="left"/>
      <w:pPr>
        <w:tabs>
          <w:tab w:val="num" w:pos="5760"/>
        </w:tabs>
        <w:ind w:left="5760" w:hanging="360"/>
      </w:pPr>
      <w:rPr>
        <w:rFonts w:ascii="Wingdings 3" w:hAnsi="Wingdings 3" w:hint="default"/>
      </w:rPr>
    </w:lvl>
    <w:lvl w:ilvl="8" w:tplc="10422424" w:tentative="1">
      <w:start w:val="1"/>
      <w:numFmt w:val="bullet"/>
      <w:lvlText w:val=""/>
      <w:lvlJc w:val="left"/>
      <w:pPr>
        <w:tabs>
          <w:tab w:val="num" w:pos="6480"/>
        </w:tabs>
        <w:ind w:left="6480" w:hanging="360"/>
      </w:pPr>
      <w:rPr>
        <w:rFonts w:ascii="Wingdings 3" w:hAnsi="Wingdings 3" w:hint="default"/>
      </w:rPr>
    </w:lvl>
  </w:abstractNum>
  <w:abstractNum w:abstractNumId="29" w15:restartNumberingAfterBreak="0">
    <w:nsid w:val="7A7E012D"/>
    <w:multiLevelType w:val="hybridMultilevel"/>
    <w:tmpl w:val="91108994"/>
    <w:lvl w:ilvl="0" w:tplc="04090001">
      <w:start w:val="1"/>
      <w:numFmt w:val="bullet"/>
      <w:lvlText w:val=""/>
      <w:lvlJc w:val="left"/>
      <w:pPr>
        <w:ind w:left="720" w:hanging="360"/>
      </w:pPr>
      <w:rPr>
        <w:rFonts w:ascii="Symbol" w:hAnsi="Symbol" w:hint="default"/>
      </w:rPr>
    </w:lvl>
    <w:lvl w:ilvl="1" w:tplc="84E252C8">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02330D"/>
    <w:multiLevelType w:val="hybridMultilevel"/>
    <w:tmpl w:val="89FAAD2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1" w15:restartNumberingAfterBreak="0">
    <w:nsid w:val="7C517918"/>
    <w:multiLevelType w:val="multilevel"/>
    <w:tmpl w:val="C94E31AA"/>
    <w:lvl w:ilvl="0">
      <w:start w:val="1"/>
      <w:numFmt w:val="decimal"/>
      <w:pStyle w:val="ListNumber"/>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num w:numId="1" w16cid:durableId="187453455">
    <w:abstractNumId w:val="2"/>
  </w:num>
  <w:num w:numId="2" w16cid:durableId="711615966">
    <w:abstractNumId w:val="19"/>
  </w:num>
  <w:num w:numId="3" w16cid:durableId="630593756">
    <w:abstractNumId w:val="2"/>
  </w:num>
  <w:num w:numId="4" w16cid:durableId="1593851130">
    <w:abstractNumId w:val="4"/>
  </w:num>
  <w:num w:numId="5" w16cid:durableId="61097926">
    <w:abstractNumId w:val="27"/>
  </w:num>
  <w:num w:numId="6" w16cid:durableId="2003896406">
    <w:abstractNumId w:val="6"/>
  </w:num>
  <w:num w:numId="7" w16cid:durableId="6859804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27957452">
    <w:abstractNumId w:val="7"/>
  </w:num>
  <w:num w:numId="9" w16cid:durableId="756824561">
    <w:abstractNumId w:val="16"/>
  </w:num>
  <w:num w:numId="10" w16cid:durableId="2021816443">
    <w:abstractNumId w:val="25"/>
  </w:num>
  <w:num w:numId="11" w16cid:durableId="1114666052">
    <w:abstractNumId w:val="1"/>
  </w:num>
  <w:num w:numId="12" w16cid:durableId="415370276">
    <w:abstractNumId w:val="8"/>
  </w:num>
  <w:num w:numId="13" w16cid:durableId="1666741582">
    <w:abstractNumId w:val="12"/>
  </w:num>
  <w:num w:numId="14" w16cid:durableId="519703441">
    <w:abstractNumId w:val="9"/>
  </w:num>
  <w:num w:numId="15" w16cid:durableId="381832450">
    <w:abstractNumId w:val="20"/>
  </w:num>
  <w:num w:numId="16" w16cid:durableId="357194142">
    <w:abstractNumId w:val="29"/>
  </w:num>
  <w:num w:numId="17" w16cid:durableId="1712265949">
    <w:abstractNumId w:val="30"/>
  </w:num>
  <w:num w:numId="18" w16cid:durableId="1105998863">
    <w:abstractNumId w:val="11"/>
  </w:num>
  <w:num w:numId="19" w16cid:durableId="1504012365">
    <w:abstractNumId w:val="22"/>
  </w:num>
  <w:num w:numId="20" w16cid:durableId="1528759539">
    <w:abstractNumId w:val="13"/>
  </w:num>
  <w:num w:numId="21" w16cid:durableId="575819452">
    <w:abstractNumId w:val="14"/>
  </w:num>
  <w:num w:numId="22" w16cid:durableId="699280624">
    <w:abstractNumId w:val="28"/>
  </w:num>
  <w:num w:numId="23" w16cid:durableId="1934974560">
    <w:abstractNumId w:val="5"/>
  </w:num>
  <w:num w:numId="24" w16cid:durableId="1287468574">
    <w:abstractNumId w:val="23"/>
  </w:num>
  <w:num w:numId="25" w16cid:durableId="767771069">
    <w:abstractNumId w:val="3"/>
  </w:num>
  <w:num w:numId="26" w16cid:durableId="396126375">
    <w:abstractNumId w:val="17"/>
  </w:num>
  <w:num w:numId="27" w16cid:durableId="249781158">
    <w:abstractNumId w:val="0"/>
  </w:num>
  <w:num w:numId="28" w16cid:durableId="1765302909">
    <w:abstractNumId w:val="2"/>
  </w:num>
  <w:num w:numId="29" w16cid:durableId="2129205256">
    <w:abstractNumId w:val="2"/>
  </w:num>
  <w:num w:numId="30" w16cid:durableId="246691750">
    <w:abstractNumId w:val="2"/>
  </w:num>
  <w:num w:numId="31" w16cid:durableId="1129935853">
    <w:abstractNumId w:val="18"/>
  </w:num>
  <w:num w:numId="32" w16cid:durableId="925840516">
    <w:abstractNumId w:val="10"/>
  </w:num>
  <w:num w:numId="33" w16cid:durableId="1306738219">
    <w:abstractNumId w:val="24"/>
  </w:num>
  <w:num w:numId="34" w16cid:durableId="1025982987">
    <w:abstractNumId w:val="26"/>
  </w:num>
  <w:num w:numId="35" w16cid:durableId="1617371307">
    <w:abstractNumId w:val="2"/>
  </w:num>
  <w:num w:numId="36" w16cid:durableId="1759668623">
    <w:abstractNumId w:val="21"/>
  </w:num>
  <w:num w:numId="37" w16cid:durableId="778371680">
    <w:abstractNumId w:val="1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5E8"/>
    <w:rsid w:val="00004321"/>
    <w:rsid w:val="00005AEF"/>
    <w:rsid w:val="00007800"/>
    <w:rsid w:val="0001749C"/>
    <w:rsid w:val="00020755"/>
    <w:rsid w:val="00023C34"/>
    <w:rsid w:val="000246FF"/>
    <w:rsid w:val="00025495"/>
    <w:rsid w:val="00031AA4"/>
    <w:rsid w:val="00040B14"/>
    <w:rsid w:val="000416C2"/>
    <w:rsid w:val="0005163A"/>
    <w:rsid w:val="00057756"/>
    <w:rsid w:val="00061EC2"/>
    <w:rsid w:val="00064136"/>
    <w:rsid w:val="00066114"/>
    <w:rsid w:val="00073CB9"/>
    <w:rsid w:val="000825EB"/>
    <w:rsid w:val="00083BA8"/>
    <w:rsid w:val="0009663C"/>
    <w:rsid w:val="000A5487"/>
    <w:rsid w:val="000A65E2"/>
    <w:rsid w:val="000A68F7"/>
    <w:rsid w:val="000B342E"/>
    <w:rsid w:val="000B59CB"/>
    <w:rsid w:val="000B6E7A"/>
    <w:rsid w:val="000C5480"/>
    <w:rsid w:val="000C5AB9"/>
    <w:rsid w:val="000D108E"/>
    <w:rsid w:val="000D6AD9"/>
    <w:rsid w:val="000E0A45"/>
    <w:rsid w:val="000E0F17"/>
    <w:rsid w:val="000E5067"/>
    <w:rsid w:val="000E5AB2"/>
    <w:rsid w:val="000E7076"/>
    <w:rsid w:val="000F3CE6"/>
    <w:rsid w:val="000F3DFD"/>
    <w:rsid w:val="000F4710"/>
    <w:rsid w:val="00103605"/>
    <w:rsid w:val="001101E3"/>
    <w:rsid w:val="00117ED9"/>
    <w:rsid w:val="0012163A"/>
    <w:rsid w:val="0012241C"/>
    <w:rsid w:val="00122720"/>
    <w:rsid w:val="00123301"/>
    <w:rsid w:val="00127853"/>
    <w:rsid w:val="001278BB"/>
    <w:rsid w:val="00127DA1"/>
    <w:rsid w:val="001321CA"/>
    <w:rsid w:val="00141E3B"/>
    <w:rsid w:val="001520A9"/>
    <w:rsid w:val="00167D4C"/>
    <w:rsid w:val="00172AE0"/>
    <w:rsid w:val="001769D5"/>
    <w:rsid w:val="0018086F"/>
    <w:rsid w:val="00195DC6"/>
    <w:rsid w:val="001A33CF"/>
    <w:rsid w:val="001B1D01"/>
    <w:rsid w:val="001B1FA8"/>
    <w:rsid w:val="001B6CF1"/>
    <w:rsid w:val="001C1A32"/>
    <w:rsid w:val="001C6644"/>
    <w:rsid w:val="001D056E"/>
    <w:rsid w:val="001D3EBF"/>
    <w:rsid w:val="001D3FE3"/>
    <w:rsid w:val="001F72EF"/>
    <w:rsid w:val="002033C1"/>
    <w:rsid w:val="0020388F"/>
    <w:rsid w:val="00203A1E"/>
    <w:rsid w:val="002118F8"/>
    <w:rsid w:val="0021276D"/>
    <w:rsid w:val="00216374"/>
    <w:rsid w:val="00216CFF"/>
    <w:rsid w:val="00221D14"/>
    <w:rsid w:val="00222F16"/>
    <w:rsid w:val="0022680E"/>
    <w:rsid w:val="002273F2"/>
    <w:rsid w:val="002279A5"/>
    <w:rsid w:val="00235927"/>
    <w:rsid w:val="00236632"/>
    <w:rsid w:val="00237B40"/>
    <w:rsid w:val="0024137E"/>
    <w:rsid w:val="00242E66"/>
    <w:rsid w:val="00243505"/>
    <w:rsid w:val="00243BEB"/>
    <w:rsid w:val="00253E6B"/>
    <w:rsid w:val="00253FC9"/>
    <w:rsid w:val="002632E2"/>
    <w:rsid w:val="002723E8"/>
    <w:rsid w:val="00272CDD"/>
    <w:rsid w:val="00274607"/>
    <w:rsid w:val="0027463D"/>
    <w:rsid w:val="0028663A"/>
    <w:rsid w:val="00297C9B"/>
    <w:rsid w:val="002A58D9"/>
    <w:rsid w:val="002A6630"/>
    <w:rsid w:val="002A7B25"/>
    <w:rsid w:val="002B2515"/>
    <w:rsid w:val="002B7F75"/>
    <w:rsid w:val="002C22BE"/>
    <w:rsid w:val="002C4090"/>
    <w:rsid w:val="002D0CB0"/>
    <w:rsid w:val="002D2593"/>
    <w:rsid w:val="002E34F0"/>
    <w:rsid w:val="002E3A02"/>
    <w:rsid w:val="002E41FE"/>
    <w:rsid w:val="002E4B6C"/>
    <w:rsid w:val="002F08CD"/>
    <w:rsid w:val="002F19FB"/>
    <w:rsid w:val="002F2E8F"/>
    <w:rsid w:val="002F47E4"/>
    <w:rsid w:val="0030129E"/>
    <w:rsid w:val="0030149D"/>
    <w:rsid w:val="00303D38"/>
    <w:rsid w:val="003234C5"/>
    <w:rsid w:val="003260EC"/>
    <w:rsid w:val="00326EFD"/>
    <w:rsid w:val="00327D98"/>
    <w:rsid w:val="0033235E"/>
    <w:rsid w:val="00334F58"/>
    <w:rsid w:val="0033597F"/>
    <w:rsid w:val="003365BA"/>
    <w:rsid w:val="00336D1A"/>
    <w:rsid w:val="003377E6"/>
    <w:rsid w:val="003379E2"/>
    <w:rsid w:val="00343835"/>
    <w:rsid w:val="003454D7"/>
    <w:rsid w:val="003467F4"/>
    <w:rsid w:val="003509F6"/>
    <w:rsid w:val="00350CB3"/>
    <w:rsid w:val="00355DAE"/>
    <w:rsid w:val="0035772B"/>
    <w:rsid w:val="00361F00"/>
    <w:rsid w:val="0036212F"/>
    <w:rsid w:val="00364565"/>
    <w:rsid w:val="00367D7A"/>
    <w:rsid w:val="00372BE1"/>
    <w:rsid w:val="00373288"/>
    <w:rsid w:val="00373CB6"/>
    <w:rsid w:val="0037562B"/>
    <w:rsid w:val="003769FF"/>
    <w:rsid w:val="00382EEA"/>
    <w:rsid w:val="00386F8E"/>
    <w:rsid w:val="00393B46"/>
    <w:rsid w:val="0039431C"/>
    <w:rsid w:val="00394339"/>
    <w:rsid w:val="003A1B82"/>
    <w:rsid w:val="003A2267"/>
    <w:rsid w:val="003A3ABD"/>
    <w:rsid w:val="003B17C0"/>
    <w:rsid w:val="003B40A8"/>
    <w:rsid w:val="003C3DEB"/>
    <w:rsid w:val="003E3453"/>
    <w:rsid w:val="003E691D"/>
    <w:rsid w:val="003E6EAB"/>
    <w:rsid w:val="003E7437"/>
    <w:rsid w:val="00404E9B"/>
    <w:rsid w:val="00410E7A"/>
    <w:rsid w:val="004124AC"/>
    <w:rsid w:val="004130E3"/>
    <w:rsid w:val="00416B4A"/>
    <w:rsid w:val="0042457B"/>
    <w:rsid w:val="00427108"/>
    <w:rsid w:val="00427F7F"/>
    <w:rsid w:val="0043245A"/>
    <w:rsid w:val="00432B08"/>
    <w:rsid w:val="00437617"/>
    <w:rsid w:val="00437C5C"/>
    <w:rsid w:val="00440885"/>
    <w:rsid w:val="0044096F"/>
    <w:rsid w:val="00441BE4"/>
    <w:rsid w:val="00442459"/>
    <w:rsid w:val="00453A8D"/>
    <w:rsid w:val="00453FA3"/>
    <w:rsid w:val="00457219"/>
    <w:rsid w:val="004654D3"/>
    <w:rsid w:val="0046599B"/>
    <w:rsid w:val="0047491D"/>
    <w:rsid w:val="00475ADA"/>
    <w:rsid w:val="0047688B"/>
    <w:rsid w:val="0048448D"/>
    <w:rsid w:val="004A6747"/>
    <w:rsid w:val="004B2DD2"/>
    <w:rsid w:val="004B2F61"/>
    <w:rsid w:val="004B5D32"/>
    <w:rsid w:val="004C0238"/>
    <w:rsid w:val="004C3918"/>
    <w:rsid w:val="004C59F6"/>
    <w:rsid w:val="004D658B"/>
    <w:rsid w:val="004D6D3F"/>
    <w:rsid w:val="004D6EEE"/>
    <w:rsid w:val="004D768D"/>
    <w:rsid w:val="004E1397"/>
    <w:rsid w:val="004E2E19"/>
    <w:rsid w:val="004F18DD"/>
    <w:rsid w:val="004F2A69"/>
    <w:rsid w:val="005044B0"/>
    <w:rsid w:val="00506231"/>
    <w:rsid w:val="00515E8A"/>
    <w:rsid w:val="00524B34"/>
    <w:rsid w:val="00530BB3"/>
    <w:rsid w:val="005313C8"/>
    <w:rsid w:val="00535BF6"/>
    <w:rsid w:val="00537A72"/>
    <w:rsid w:val="005464E5"/>
    <w:rsid w:val="00547F39"/>
    <w:rsid w:val="00556F02"/>
    <w:rsid w:val="005802AE"/>
    <w:rsid w:val="0058205F"/>
    <w:rsid w:val="005909D3"/>
    <w:rsid w:val="0059254C"/>
    <w:rsid w:val="00593455"/>
    <w:rsid w:val="00593456"/>
    <w:rsid w:val="00596DDD"/>
    <w:rsid w:val="005A67D7"/>
    <w:rsid w:val="005B188E"/>
    <w:rsid w:val="005B760C"/>
    <w:rsid w:val="005C1715"/>
    <w:rsid w:val="005C58E0"/>
    <w:rsid w:val="005D1855"/>
    <w:rsid w:val="005D7D7E"/>
    <w:rsid w:val="005E0985"/>
    <w:rsid w:val="005E0C51"/>
    <w:rsid w:val="005E1F4D"/>
    <w:rsid w:val="005E5197"/>
    <w:rsid w:val="005F025E"/>
    <w:rsid w:val="005F1EE7"/>
    <w:rsid w:val="005F5106"/>
    <w:rsid w:val="00605854"/>
    <w:rsid w:val="00624666"/>
    <w:rsid w:val="00632F7A"/>
    <w:rsid w:val="006356C4"/>
    <w:rsid w:val="006362EB"/>
    <w:rsid w:val="00636412"/>
    <w:rsid w:val="00643D7E"/>
    <w:rsid w:val="0064649C"/>
    <w:rsid w:val="006504BF"/>
    <w:rsid w:val="006506AE"/>
    <w:rsid w:val="00653B59"/>
    <w:rsid w:val="006540AC"/>
    <w:rsid w:val="00660943"/>
    <w:rsid w:val="00663199"/>
    <w:rsid w:val="006705F1"/>
    <w:rsid w:val="0067208C"/>
    <w:rsid w:val="00672729"/>
    <w:rsid w:val="00674F21"/>
    <w:rsid w:val="006808A4"/>
    <w:rsid w:val="006813E3"/>
    <w:rsid w:val="0068365F"/>
    <w:rsid w:val="006918B9"/>
    <w:rsid w:val="006A25E8"/>
    <w:rsid w:val="006A3C6B"/>
    <w:rsid w:val="006A55BC"/>
    <w:rsid w:val="006A6437"/>
    <w:rsid w:val="006B0A53"/>
    <w:rsid w:val="006B0E37"/>
    <w:rsid w:val="006B1A5A"/>
    <w:rsid w:val="006C153D"/>
    <w:rsid w:val="006C4169"/>
    <w:rsid w:val="006C566A"/>
    <w:rsid w:val="006C7F3E"/>
    <w:rsid w:val="006E43B0"/>
    <w:rsid w:val="006E4552"/>
    <w:rsid w:val="006E4E45"/>
    <w:rsid w:val="006F5A09"/>
    <w:rsid w:val="006F7C39"/>
    <w:rsid w:val="0070257B"/>
    <w:rsid w:val="0070681D"/>
    <w:rsid w:val="00711070"/>
    <w:rsid w:val="007139AE"/>
    <w:rsid w:val="00715276"/>
    <w:rsid w:val="00725114"/>
    <w:rsid w:val="0072526B"/>
    <w:rsid w:val="00725477"/>
    <w:rsid w:val="00730A14"/>
    <w:rsid w:val="00731546"/>
    <w:rsid w:val="007354F4"/>
    <w:rsid w:val="00735A1E"/>
    <w:rsid w:val="00735F34"/>
    <w:rsid w:val="00736E4F"/>
    <w:rsid w:val="00741AA8"/>
    <w:rsid w:val="007437CE"/>
    <w:rsid w:val="0075117B"/>
    <w:rsid w:val="00752ACA"/>
    <w:rsid w:val="007537B3"/>
    <w:rsid w:val="00757BB7"/>
    <w:rsid w:val="00760887"/>
    <w:rsid w:val="00771552"/>
    <w:rsid w:val="00772119"/>
    <w:rsid w:val="00773229"/>
    <w:rsid w:val="0077642D"/>
    <w:rsid w:val="00776658"/>
    <w:rsid w:val="007804A8"/>
    <w:rsid w:val="00780F04"/>
    <w:rsid w:val="00781040"/>
    <w:rsid w:val="00781D05"/>
    <w:rsid w:val="00783E2D"/>
    <w:rsid w:val="007869CA"/>
    <w:rsid w:val="00796D58"/>
    <w:rsid w:val="007A15E1"/>
    <w:rsid w:val="007A1D22"/>
    <w:rsid w:val="007B47EC"/>
    <w:rsid w:val="007B4D90"/>
    <w:rsid w:val="007C3193"/>
    <w:rsid w:val="007C38AC"/>
    <w:rsid w:val="007C3F0A"/>
    <w:rsid w:val="007C4BF1"/>
    <w:rsid w:val="007C62F2"/>
    <w:rsid w:val="007C7351"/>
    <w:rsid w:val="007C7D2A"/>
    <w:rsid w:val="007D3BC8"/>
    <w:rsid w:val="007D3D49"/>
    <w:rsid w:val="007D6AA6"/>
    <w:rsid w:val="007D6BA9"/>
    <w:rsid w:val="007E680A"/>
    <w:rsid w:val="007E7800"/>
    <w:rsid w:val="008007AA"/>
    <w:rsid w:val="00800A1D"/>
    <w:rsid w:val="00802A55"/>
    <w:rsid w:val="00804773"/>
    <w:rsid w:val="008057E9"/>
    <w:rsid w:val="00807BAC"/>
    <w:rsid w:val="00822103"/>
    <w:rsid w:val="008228C9"/>
    <w:rsid w:val="00824FF8"/>
    <w:rsid w:val="008375E3"/>
    <w:rsid w:val="008415A7"/>
    <w:rsid w:val="008426EC"/>
    <w:rsid w:val="008476AA"/>
    <w:rsid w:val="00854406"/>
    <w:rsid w:val="00854C91"/>
    <w:rsid w:val="00857D9A"/>
    <w:rsid w:val="00862AC0"/>
    <w:rsid w:val="00870FE1"/>
    <w:rsid w:val="00871BC2"/>
    <w:rsid w:val="00880B61"/>
    <w:rsid w:val="00884D5A"/>
    <w:rsid w:val="00885AF5"/>
    <w:rsid w:val="00892DA6"/>
    <w:rsid w:val="008A0D30"/>
    <w:rsid w:val="008A14BF"/>
    <w:rsid w:val="008B7AF5"/>
    <w:rsid w:val="008C736F"/>
    <w:rsid w:val="008C78B5"/>
    <w:rsid w:val="008C78EE"/>
    <w:rsid w:val="008D5411"/>
    <w:rsid w:val="008E0772"/>
    <w:rsid w:val="008E1F52"/>
    <w:rsid w:val="008E67D8"/>
    <w:rsid w:val="008E6FEC"/>
    <w:rsid w:val="008F206D"/>
    <w:rsid w:val="008F29CD"/>
    <w:rsid w:val="008F3AD0"/>
    <w:rsid w:val="008F682F"/>
    <w:rsid w:val="00901E81"/>
    <w:rsid w:val="0091137B"/>
    <w:rsid w:val="00911E40"/>
    <w:rsid w:val="0091424A"/>
    <w:rsid w:val="00916F0B"/>
    <w:rsid w:val="00921BDB"/>
    <w:rsid w:val="0092429D"/>
    <w:rsid w:val="0093167A"/>
    <w:rsid w:val="00936428"/>
    <w:rsid w:val="00944011"/>
    <w:rsid w:val="009448AD"/>
    <w:rsid w:val="00944FC5"/>
    <w:rsid w:val="00946E18"/>
    <w:rsid w:val="009476C1"/>
    <w:rsid w:val="00952151"/>
    <w:rsid w:val="0095614B"/>
    <w:rsid w:val="00956EC4"/>
    <w:rsid w:val="00961EF4"/>
    <w:rsid w:val="0096739D"/>
    <w:rsid w:val="0097368F"/>
    <w:rsid w:val="00976CCC"/>
    <w:rsid w:val="009770ED"/>
    <w:rsid w:val="00985E22"/>
    <w:rsid w:val="00985FFB"/>
    <w:rsid w:val="00987248"/>
    <w:rsid w:val="00990C25"/>
    <w:rsid w:val="00992662"/>
    <w:rsid w:val="0099481A"/>
    <w:rsid w:val="00994832"/>
    <w:rsid w:val="00995F06"/>
    <w:rsid w:val="009B0CD1"/>
    <w:rsid w:val="009B781D"/>
    <w:rsid w:val="009C2998"/>
    <w:rsid w:val="009C4C66"/>
    <w:rsid w:val="009C6612"/>
    <w:rsid w:val="009D0F9B"/>
    <w:rsid w:val="009D4DD6"/>
    <w:rsid w:val="009D5D23"/>
    <w:rsid w:val="009D5DF3"/>
    <w:rsid w:val="009D6279"/>
    <w:rsid w:val="009E3C1C"/>
    <w:rsid w:val="009F13E9"/>
    <w:rsid w:val="009F2CE8"/>
    <w:rsid w:val="009F7043"/>
    <w:rsid w:val="00A04418"/>
    <w:rsid w:val="00A05FF4"/>
    <w:rsid w:val="00A10041"/>
    <w:rsid w:val="00A1117A"/>
    <w:rsid w:val="00A14F41"/>
    <w:rsid w:val="00A225CD"/>
    <w:rsid w:val="00A2494C"/>
    <w:rsid w:val="00A24E6A"/>
    <w:rsid w:val="00A3055F"/>
    <w:rsid w:val="00A3396D"/>
    <w:rsid w:val="00A42A2D"/>
    <w:rsid w:val="00A42C44"/>
    <w:rsid w:val="00A53137"/>
    <w:rsid w:val="00A57A9D"/>
    <w:rsid w:val="00A57EF3"/>
    <w:rsid w:val="00A6143D"/>
    <w:rsid w:val="00A6159C"/>
    <w:rsid w:val="00A61847"/>
    <w:rsid w:val="00A660B5"/>
    <w:rsid w:val="00A66ABB"/>
    <w:rsid w:val="00A82B23"/>
    <w:rsid w:val="00A83E1F"/>
    <w:rsid w:val="00A862E4"/>
    <w:rsid w:val="00A91529"/>
    <w:rsid w:val="00A962DC"/>
    <w:rsid w:val="00A9774D"/>
    <w:rsid w:val="00A97CC5"/>
    <w:rsid w:val="00AB0F05"/>
    <w:rsid w:val="00AB1939"/>
    <w:rsid w:val="00AB325A"/>
    <w:rsid w:val="00AB5715"/>
    <w:rsid w:val="00AB5E3C"/>
    <w:rsid w:val="00AB6CA5"/>
    <w:rsid w:val="00AD533C"/>
    <w:rsid w:val="00AE5A73"/>
    <w:rsid w:val="00AE6D24"/>
    <w:rsid w:val="00AF2199"/>
    <w:rsid w:val="00AF2C5C"/>
    <w:rsid w:val="00B013D6"/>
    <w:rsid w:val="00B04446"/>
    <w:rsid w:val="00B06457"/>
    <w:rsid w:val="00B109E9"/>
    <w:rsid w:val="00B179EB"/>
    <w:rsid w:val="00B2473C"/>
    <w:rsid w:val="00B30173"/>
    <w:rsid w:val="00B3258F"/>
    <w:rsid w:val="00B32720"/>
    <w:rsid w:val="00B32B95"/>
    <w:rsid w:val="00B33206"/>
    <w:rsid w:val="00B34243"/>
    <w:rsid w:val="00B36ECC"/>
    <w:rsid w:val="00B42B63"/>
    <w:rsid w:val="00B463D0"/>
    <w:rsid w:val="00B46936"/>
    <w:rsid w:val="00B50DCF"/>
    <w:rsid w:val="00B56F10"/>
    <w:rsid w:val="00B61CB8"/>
    <w:rsid w:val="00B62F9F"/>
    <w:rsid w:val="00B652AD"/>
    <w:rsid w:val="00B654D9"/>
    <w:rsid w:val="00B72C94"/>
    <w:rsid w:val="00B73C53"/>
    <w:rsid w:val="00B73FA9"/>
    <w:rsid w:val="00B811E9"/>
    <w:rsid w:val="00B815CD"/>
    <w:rsid w:val="00B82352"/>
    <w:rsid w:val="00B84164"/>
    <w:rsid w:val="00B84AB0"/>
    <w:rsid w:val="00B86ABE"/>
    <w:rsid w:val="00B87154"/>
    <w:rsid w:val="00B93265"/>
    <w:rsid w:val="00B9560D"/>
    <w:rsid w:val="00BA70FF"/>
    <w:rsid w:val="00BB4193"/>
    <w:rsid w:val="00BB45A0"/>
    <w:rsid w:val="00BB67D9"/>
    <w:rsid w:val="00BB78C6"/>
    <w:rsid w:val="00BC63F9"/>
    <w:rsid w:val="00BD3C74"/>
    <w:rsid w:val="00BE06D8"/>
    <w:rsid w:val="00BE3F87"/>
    <w:rsid w:val="00BF3CF7"/>
    <w:rsid w:val="00BF492D"/>
    <w:rsid w:val="00C04D42"/>
    <w:rsid w:val="00C15DF8"/>
    <w:rsid w:val="00C37904"/>
    <w:rsid w:val="00C40AFF"/>
    <w:rsid w:val="00C5088D"/>
    <w:rsid w:val="00C5763C"/>
    <w:rsid w:val="00C57782"/>
    <w:rsid w:val="00C6009A"/>
    <w:rsid w:val="00C62BCF"/>
    <w:rsid w:val="00C6365B"/>
    <w:rsid w:val="00C63D3F"/>
    <w:rsid w:val="00C660E7"/>
    <w:rsid w:val="00C7373A"/>
    <w:rsid w:val="00C74977"/>
    <w:rsid w:val="00C7590E"/>
    <w:rsid w:val="00C80B09"/>
    <w:rsid w:val="00C80E6D"/>
    <w:rsid w:val="00C82A90"/>
    <w:rsid w:val="00C93F77"/>
    <w:rsid w:val="00C96595"/>
    <w:rsid w:val="00CA532C"/>
    <w:rsid w:val="00CA65AD"/>
    <w:rsid w:val="00CB0EB5"/>
    <w:rsid w:val="00CB31B2"/>
    <w:rsid w:val="00CB6775"/>
    <w:rsid w:val="00CC6721"/>
    <w:rsid w:val="00CC7075"/>
    <w:rsid w:val="00CD21E4"/>
    <w:rsid w:val="00CD7F73"/>
    <w:rsid w:val="00CE0679"/>
    <w:rsid w:val="00CE2AB3"/>
    <w:rsid w:val="00CF2CFB"/>
    <w:rsid w:val="00CF5CD8"/>
    <w:rsid w:val="00CF6FD7"/>
    <w:rsid w:val="00D065B6"/>
    <w:rsid w:val="00D07162"/>
    <w:rsid w:val="00D11860"/>
    <w:rsid w:val="00D20323"/>
    <w:rsid w:val="00D24A10"/>
    <w:rsid w:val="00D34CDF"/>
    <w:rsid w:val="00D4177E"/>
    <w:rsid w:val="00D42456"/>
    <w:rsid w:val="00D46B3A"/>
    <w:rsid w:val="00D46E24"/>
    <w:rsid w:val="00D61FB4"/>
    <w:rsid w:val="00D63EC0"/>
    <w:rsid w:val="00D64CA9"/>
    <w:rsid w:val="00D712B0"/>
    <w:rsid w:val="00D71555"/>
    <w:rsid w:val="00D72A23"/>
    <w:rsid w:val="00D74B9C"/>
    <w:rsid w:val="00D833A7"/>
    <w:rsid w:val="00D9241E"/>
    <w:rsid w:val="00D93DBF"/>
    <w:rsid w:val="00D9437D"/>
    <w:rsid w:val="00DA0C4A"/>
    <w:rsid w:val="00DA2292"/>
    <w:rsid w:val="00DA2D00"/>
    <w:rsid w:val="00DA4775"/>
    <w:rsid w:val="00DB131A"/>
    <w:rsid w:val="00DB1E9B"/>
    <w:rsid w:val="00DB1FAC"/>
    <w:rsid w:val="00DB382E"/>
    <w:rsid w:val="00DB3A90"/>
    <w:rsid w:val="00DB6706"/>
    <w:rsid w:val="00DD4713"/>
    <w:rsid w:val="00DD62DD"/>
    <w:rsid w:val="00DD7937"/>
    <w:rsid w:val="00DE3B81"/>
    <w:rsid w:val="00DE3C0A"/>
    <w:rsid w:val="00DE4FC9"/>
    <w:rsid w:val="00DF469A"/>
    <w:rsid w:val="00DF48E7"/>
    <w:rsid w:val="00DF66FF"/>
    <w:rsid w:val="00DF728E"/>
    <w:rsid w:val="00E009BC"/>
    <w:rsid w:val="00E00ECB"/>
    <w:rsid w:val="00E02C44"/>
    <w:rsid w:val="00E0318B"/>
    <w:rsid w:val="00E057E6"/>
    <w:rsid w:val="00E064A6"/>
    <w:rsid w:val="00E14AAC"/>
    <w:rsid w:val="00E2234A"/>
    <w:rsid w:val="00E27691"/>
    <w:rsid w:val="00E322EB"/>
    <w:rsid w:val="00E407E0"/>
    <w:rsid w:val="00E562EF"/>
    <w:rsid w:val="00E5694C"/>
    <w:rsid w:val="00E66578"/>
    <w:rsid w:val="00E66654"/>
    <w:rsid w:val="00E67396"/>
    <w:rsid w:val="00E740BE"/>
    <w:rsid w:val="00E80B05"/>
    <w:rsid w:val="00E827B4"/>
    <w:rsid w:val="00E913C7"/>
    <w:rsid w:val="00E92300"/>
    <w:rsid w:val="00E933A8"/>
    <w:rsid w:val="00E94EFC"/>
    <w:rsid w:val="00EB4522"/>
    <w:rsid w:val="00EB4DBA"/>
    <w:rsid w:val="00EB681B"/>
    <w:rsid w:val="00EB7C37"/>
    <w:rsid w:val="00EC014C"/>
    <w:rsid w:val="00ED30CB"/>
    <w:rsid w:val="00ED38D5"/>
    <w:rsid w:val="00ED41A9"/>
    <w:rsid w:val="00EE29C1"/>
    <w:rsid w:val="00EE53E6"/>
    <w:rsid w:val="00EF33BA"/>
    <w:rsid w:val="00EF76FC"/>
    <w:rsid w:val="00F2606D"/>
    <w:rsid w:val="00F26637"/>
    <w:rsid w:val="00F276A7"/>
    <w:rsid w:val="00F3562D"/>
    <w:rsid w:val="00F40124"/>
    <w:rsid w:val="00F447CE"/>
    <w:rsid w:val="00F449D0"/>
    <w:rsid w:val="00F44BDD"/>
    <w:rsid w:val="00F471FB"/>
    <w:rsid w:val="00F5014A"/>
    <w:rsid w:val="00F5250C"/>
    <w:rsid w:val="00F601FB"/>
    <w:rsid w:val="00F625AE"/>
    <w:rsid w:val="00F637CC"/>
    <w:rsid w:val="00F64BAB"/>
    <w:rsid w:val="00F70E3B"/>
    <w:rsid w:val="00F71CE4"/>
    <w:rsid w:val="00F71FA3"/>
    <w:rsid w:val="00F741BD"/>
    <w:rsid w:val="00F74418"/>
    <w:rsid w:val="00F76E41"/>
    <w:rsid w:val="00F94596"/>
    <w:rsid w:val="00F96066"/>
    <w:rsid w:val="00FA06BC"/>
    <w:rsid w:val="00FA108B"/>
    <w:rsid w:val="00FB23D9"/>
    <w:rsid w:val="00FC1089"/>
    <w:rsid w:val="00FC2F1D"/>
    <w:rsid w:val="00FC57A3"/>
    <w:rsid w:val="00FD2490"/>
    <w:rsid w:val="00FE2EF0"/>
    <w:rsid w:val="00FF1094"/>
    <w:rsid w:val="00FF33D8"/>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7346D6"/>
  <w15:docId w15:val="{F030AFE8-D28F-4A82-86BF-5FE474E79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67F4"/>
    <w:pPr>
      <w:keepLines/>
      <w:tabs>
        <w:tab w:val="left" w:pos="567"/>
      </w:tabs>
      <w:spacing w:after="140" w:line="300" w:lineRule="atLeast"/>
    </w:pPr>
    <w:rPr>
      <w:rFonts w:ascii="Gill Sans MT" w:hAnsi="Gill Sans MT"/>
      <w:sz w:val="22"/>
      <w:szCs w:val="22"/>
      <w:lang w:eastAsia="en-US"/>
    </w:rPr>
  </w:style>
  <w:style w:type="paragraph" w:styleId="Heading1">
    <w:name w:val="heading 1"/>
    <w:basedOn w:val="Normal"/>
    <w:next w:val="Normal"/>
    <w:qFormat/>
    <w:rsid w:val="003467F4"/>
    <w:pPr>
      <w:keepNext/>
      <w:keepLines w:val="0"/>
      <w:spacing w:before="240"/>
      <w:outlineLvl w:val="0"/>
    </w:pPr>
    <w:rPr>
      <w:rFonts w:cs="Arial"/>
      <w:b/>
      <w:snapToGrid w:val="0"/>
      <w:kern w:val="28"/>
      <w:sz w:val="40"/>
      <w:szCs w:val="20"/>
    </w:rPr>
  </w:style>
  <w:style w:type="paragraph" w:styleId="Heading2">
    <w:name w:val="heading 2"/>
    <w:basedOn w:val="Normal"/>
    <w:next w:val="Normal"/>
    <w:qFormat/>
    <w:rsid w:val="003467F4"/>
    <w:pPr>
      <w:keepNext/>
      <w:keepLines w:val="0"/>
      <w:spacing w:before="240"/>
      <w:outlineLvl w:val="1"/>
    </w:pPr>
    <w:rPr>
      <w:rFonts w:cs="Arial"/>
      <w:b/>
      <w:bCs/>
      <w:sz w:val="32"/>
      <w:szCs w:val="28"/>
    </w:rPr>
  </w:style>
  <w:style w:type="paragraph" w:styleId="Heading3">
    <w:name w:val="heading 3"/>
    <w:basedOn w:val="Normal"/>
    <w:next w:val="Normal"/>
    <w:qFormat/>
    <w:rsid w:val="003467F4"/>
    <w:pPr>
      <w:keepNext/>
      <w:keepLines w:val="0"/>
      <w:spacing w:before="240"/>
      <w:outlineLvl w:val="2"/>
    </w:pPr>
    <w:rPr>
      <w:rFonts w:cs="Arial"/>
      <w:b/>
      <w:bCs/>
      <w:iCs/>
      <w:sz w:val="28"/>
      <w:szCs w:val="28"/>
    </w:rPr>
  </w:style>
  <w:style w:type="paragraph" w:styleId="Heading4">
    <w:name w:val="heading 4"/>
    <w:basedOn w:val="Normal"/>
    <w:link w:val="Heading4Char"/>
    <w:qFormat/>
    <w:rsid w:val="003467F4"/>
    <w:pPr>
      <w:keepNext/>
      <w:keepLines w:val="0"/>
      <w:spacing w:before="240"/>
      <w:outlineLvl w:val="3"/>
    </w:pPr>
    <w:rPr>
      <w:b/>
      <w:bCs/>
      <w:sz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List">
    <w:name w:val="Numbered List"/>
    <w:semiHidden/>
    <w:rsid w:val="00A2494C"/>
    <w:pPr>
      <w:tabs>
        <w:tab w:val="num" w:pos="567"/>
      </w:tabs>
      <w:spacing w:after="140" w:line="300" w:lineRule="atLeast"/>
      <w:ind w:left="567" w:hanging="567"/>
    </w:pPr>
    <w:rPr>
      <w:rFonts w:ascii="Gill Sans MT" w:hAnsi="Gill Sans MT"/>
      <w:sz w:val="22"/>
      <w:lang w:eastAsia="en-US"/>
    </w:rPr>
  </w:style>
  <w:style w:type="paragraph" w:customStyle="1" w:styleId="DepartmentTitle">
    <w:name w:val="Department Title"/>
    <w:semiHidden/>
    <w:rsid w:val="008E1F52"/>
    <w:pPr>
      <w:tabs>
        <w:tab w:val="left" w:pos="720"/>
      </w:tabs>
    </w:pPr>
    <w:rPr>
      <w:rFonts w:ascii="Gill Sans MT" w:hAnsi="Gill Sans MT"/>
      <w:sz w:val="28"/>
      <w:szCs w:val="24"/>
      <w:lang w:eastAsia="en-US"/>
    </w:rPr>
  </w:style>
  <w:style w:type="paragraph" w:customStyle="1" w:styleId="Logo">
    <w:name w:val="Logo"/>
    <w:semiHidden/>
    <w:rsid w:val="00372BE1"/>
    <w:pPr>
      <w:spacing w:line="300" w:lineRule="atLeast"/>
      <w:ind w:right="-28"/>
      <w:jc w:val="right"/>
    </w:pPr>
    <w:rPr>
      <w:rFonts w:ascii="Gill Sans MT" w:hAnsi="Gill Sans MT"/>
      <w:szCs w:val="24"/>
      <w:lang w:eastAsia="en-US"/>
    </w:rPr>
  </w:style>
  <w:style w:type="paragraph" w:customStyle="1" w:styleId="Sub-branch">
    <w:name w:val="Sub-branch"/>
    <w:semiHidden/>
    <w:rsid w:val="008E1F52"/>
    <w:pPr>
      <w:spacing w:before="80" w:after="240" w:line="24" w:lineRule="atLeast"/>
    </w:pPr>
    <w:rPr>
      <w:rFonts w:ascii="Gill Sans MT" w:hAnsi="Gill Sans MT"/>
      <w:caps/>
      <w:w w:val="95"/>
      <w:sz w:val="18"/>
      <w:lang w:eastAsia="en-US"/>
    </w:rPr>
  </w:style>
  <w:style w:type="table" w:styleId="TableGrid">
    <w:name w:val="Table Grid"/>
    <w:basedOn w:val="TableNormal"/>
    <w:semiHidden/>
    <w:rsid w:val="00372BE1"/>
    <w:pPr>
      <w:tabs>
        <w:tab w:val="left" w:pos="425"/>
      </w:tabs>
      <w:spacing w:after="240" w:line="30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leorMTSNo">
    <w:name w:val="File or MTS No."/>
    <w:semiHidden/>
    <w:rsid w:val="00372BE1"/>
    <w:pPr>
      <w:spacing w:after="120"/>
    </w:pPr>
    <w:rPr>
      <w:rFonts w:ascii="Gill Sans MT" w:hAnsi="Gill Sans MT"/>
      <w:color w:val="000000"/>
      <w:sz w:val="18"/>
      <w:lang w:eastAsia="en-US"/>
    </w:rPr>
  </w:style>
  <w:style w:type="paragraph" w:customStyle="1" w:styleId="BulletedListLevel1">
    <w:name w:val="Bulleted List Level 1"/>
    <w:link w:val="BulletedListLevel1Char"/>
    <w:uiPriority w:val="3"/>
    <w:qFormat/>
    <w:rsid w:val="00A2494C"/>
    <w:pPr>
      <w:numPr>
        <w:numId w:val="3"/>
      </w:numPr>
      <w:spacing w:after="140" w:line="300" w:lineRule="atLeast"/>
    </w:pPr>
    <w:rPr>
      <w:rFonts w:ascii="Gill Sans MT" w:hAnsi="Gill Sans MT"/>
      <w:sz w:val="22"/>
      <w:szCs w:val="24"/>
      <w:lang w:eastAsia="en-US"/>
    </w:rPr>
  </w:style>
  <w:style w:type="paragraph" w:customStyle="1" w:styleId="InformationBlock">
    <w:name w:val="Information Block"/>
    <w:link w:val="InformationBlockChar"/>
    <w:semiHidden/>
    <w:rsid w:val="00372BE1"/>
    <w:pPr>
      <w:spacing w:before="40" w:after="40"/>
    </w:pPr>
    <w:rPr>
      <w:rFonts w:ascii="Gill Sans MT" w:hAnsi="Gill Sans MT"/>
      <w:b/>
      <w:sz w:val="22"/>
      <w:szCs w:val="22"/>
      <w:lang w:eastAsia="en-US"/>
    </w:rPr>
  </w:style>
  <w:style w:type="paragraph" w:customStyle="1" w:styleId="InformationBlockfillin">
    <w:name w:val="Information Block (fill in)"/>
    <w:basedOn w:val="InformationBlock"/>
    <w:link w:val="InformationBlockfillinChar"/>
    <w:semiHidden/>
    <w:rsid w:val="00372BE1"/>
    <w:rPr>
      <w:b w:val="0"/>
    </w:rPr>
  </w:style>
  <w:style w:type="paragraph" w:customStyle="1" w:styleId="Instructions">
    <w:name w:val="Instructions"/>
    <w:next w:val="Normal"/>
    <w:semiHidden/>
    <w:rsid w:val="00372BE1"/>
    <w:pPr>
      <w:shd w:val="clear" w:color="auto" w:fill="FFFFCC"/>
      <w:spacing w:line="240" w:lineRule="atLeast"/>
    </w:pPr>
    <w:rPr>
      <w:rFonts w:ascii="Verdana" w:hAnsi="Verdana" w:cs="Arial"/>
      <w:iCs/>
      <w:kern w:val="36"/>
      <w:sz w:val="17"/>
      <w:szCs w:val="17"/>
    </w:rPr>
  </w:style>
  <w:style w:type="character" w:customStyle="1" w:styleId="InformationBlockChar">
    <w:name w:val="Information Block Char"/>
    <w:basedOn w:val="DefaultParagraphFont"/>
    <w:link w:val="InformationBlock"/>
    <w:semiHidden/>
    <w:rsid w:val="00372BE1"/>
    <w:rPr>
      <w:rFonts w:ascii="Gill Sans MT" w:hAnsi="Gill Sans MT"/>
      <w:b/>
      <w:sz w:val="22"/>
      <w:szCs w:val="22"/>
      <w:lang w:val="en-AU" w:eastAsia="en-US" w:bidi="ar-SA"/>
    </w:rPr>
  </w:style>
  <w:style w:type="character" w:customStyle="1" w:styleId="InformationBlockfillinChar">
    <w:name w:val="Information Block (fill in) Char"/>
    <w:basedOn w:val="InformationBlockChar"/>
    <w:link w:val="InformationBlockfillin"/>
    <w:rsid w:val="00372BE1"/>
    <w:rPr>
      <w:rFonts w:ascii="Gill Sans MT" w:hAnsi="Gill Sans MT"/>
      <w:b/>
      <w:sz w:val="22"/>
      <w:szCs w:val="22"/>
      <w:lang w:val="en-AU" w:eastAsia="en-US" w:bidi="ar-SA"/>
    </w:rPr>
  </w:style>
  <w:style w:type="paragraph" w:styleId="Header">
    <w:name w:val="header"/>
    <w:basedOn w:val="Normal"/>
    <w:rsid w:val="00B50DCF"/>
    <w:pPr>
      <w:tabs>
        <w:tab w:val="center" w:pos="4153"/>
        <w:tab w:val="right" w:pos="8306"/>
      </w:tabs>
    </w:pPr>
  </w:style>
  <w:style w:type="paragraph" w:styleId="Footer">
    <w:name w:val="footer"/>
    <w:basedOn w:val="Normal"/>
    <w:rsid w:val="00A2494C"/>
    <w:pPr>
      <w:keepLines w:val="0"/>
      <w:tabs>
        <w:tab w:val="clear" w:pos="567"/>
        <w:tab w:val="left" w:pos="8280"/>
        <w:tab w:val="left" w:pos="9180"/>
      </w:tabs>
      <w:spacing w:after="0" w:line="240" w:lineRule="auto"/>
    </w:pPr>
    <w:rPr>
      <w:i/>
      <w:sz w:val="16"/>
      <w:szCs w:val="16"/>
    </w:rPr>
  </w:style>
  <w:style w:type="character" w:styleId="Strong">
    <w:name w:val="Strong"/>
    <w:basedOn w:val="DefaultParagraphFont"/>
    <w:qFormat/>
    <w:rsid w:val="003467F4"/>
    <w:rPr>
      <w:b/>
      <w:bCs/>
    </w:rPr>
  </w:style>
  <w:style w:type="paragraph" w:customStyle="1" w:styleId="Clearance">
    <w:name w:val="Clearance"/>
    <w:semiHidden/>
    <w:rsid w:val="008E6FEC"/>
    <w:pPr>
      <w:keepNext/>
      <w:spacing w:before="40" w:after="40"/>
    </w:pPr>
    <w:rPr>
      <w:rFonts w:ascii="Gill Sans MT" w:hAnsi="Gill Sans MT"/>
      <w:szCs w:val="22"/>
      <w:lang w:eastAsia="en-US"/>
    </w:rPr>
  </w:style>
  <w:style w:type="paragraph" w:customStyle="1" w:styleId="BulletedIndentedafterNumber">
    <w:name w:val="Bulleted Indented after Number"/>
    <w:semiHidden/>
    <w:rsid w:val="00A2494C"/>
    <w:pPr>
      <w:numPr>
        <w:numId w:val="2"/>
      </w:numPr>
      <w:tabs>
        <w:tab w:val="left" w:pos="567"/>
      </w:tabs>
      <w:spacing w:after="140" w:line="300" w:lineRule="atLeast"/>
    </w:pPr>
    <w:rPr>
      <w:rFonts w:ascii="Gill Sans MT" w:hAnsi="Gill Sans MT"/>
      <w:sz w:val="22"/>
      <w:lang w:eastAsia="en-US"/>
    </w:rPr>
  </w:style>
  <w:style w:type="paragraph" w:customStyle="1" w:styleId="BulletedListLevel2">
    <w:name w:val="Bulleted List Level 2"/>
    <w:uiPriority w:val="3"/>
    <w:qFormat/>
    <w:rsid w:val="00A2494C"/>
    <w:pPr>
      <w:numPr>
        <w:numId w:val="4"/>
      </w:numPr>
      <w:spacing w:after="140" w:line="300" w:lineRule="atLeast"/>
    </w:pPr>
    <w:rPr>
      <w:rFonts w:ascii="Gill Sans MT" w:hAnsi="Gill Sans MT" w:cs="Arial"/>
      <w:snapToGrid w:val="0"/>
      <w:kern w:val="28"/>
      <w:sz w:val="22"/>
      <w:lang w:eastAsia="en-US"/>
    </w:rPr>
  </w:style>
  <w:style w:type="paragraph" w:customStyle="1" w:styleId="BulletedListLevel3">
    <w:name w:val="Bulleted List Level 3"/>
    <w:link w:val="BulletedListLevel3Char"/>
    <w:uiPriority w:val="3"/>
    <w:qFormat/>
    <w:rsid w:val="00A2494C"/>
    <w:pPr>
      <w:numPr>
        <w:numId w:val="5"/>
      </w:numPr>
      <w:spacing w:after="140" w:line="300" w:lineRule="atLeast"/>
    </w:pPr>
    <w:rPr>
      <w:rFonts w:ascii="Gill Sans MT" w:hAnsi="Gill Sans MT" w:cs="Arial"/>
      <w:snapToGrid w:val="0"/>
      <w:kern w:val="28"/>
      <w:sz w:val="22"/>
      <w:lang w:eastAsia="en-US"/>
    </w:rPr>
  </w:style>
  <w:style w:type="paragraph" w:customStyle="1" w:styleId="space">
    <w:name w:val="space"/>
    <w:semiHidden/>
    <w:rsid w:val="00A2494C"/>
    <w:rPr>
      <w:rFonts w:ascii="Arial" w:hAnsi="Arial" w:cs="Arial"/>
      <w:caps/>
      <w:sz w:val="4"/>
      <w:szCs w:val="30"/>
      <w:lang w:eastAsia="en-US"/>
    </w:rPr>
  </w:style>
  <w:style w:type="paragraph" w:styleId="NormalIndent">
    <w:name w:val="Normal Indent"/>
    <w:basedOn w:val="Normal"/>
    <w:rsid w:val="0044096F"/>
    <w:pPr>
      <w:keepLines w:val="0"/>
      <w:ind w:left="567"/>
    </w:pPr>
  </w:style>
  <w:style w:type="paragraph" w:customStyle="1" w:styleId="TableBulletedList">
    <w:name w:val="Table Bulleted List"/>
    <w:semiHidden/>
    <w:rsid w:val="00807BAC"/>
    <w:pPr>
      <w:numPr>
        <w:numId w:val="6"/>
      </w:numPr>
      <w:tabs>
        <w:tab w:val="left" w:pos="406"/>
      </w:tabs>
      <w:spacing w:before="20" w:after="60"/>
    </w:pPr>
    <w:rPr>
      <w:rFonts w:ascii="Gill Sans MT" w:hAnsi="Gill Sans MT"/>
      <w:sz w:val="22"/>
      <w:szCs w:val="24"/>
      <w:lang w:eastAsia="en-US"/>
    </w:rPr>
  </w:style>
  <w:style w:type="paragraph" w:customStyle="1" w:styleId="TableContentsLeft">
    <w:name w:val="Table Contents Left"/>
    <w:basedOn w:val="Normal"/>
    <w:semiHidden/>
    <w:rsid w:val="00807BAC"/>
    <w:pPr>
      <w:keepLines w:val="0"/>
      <w:tabs>
        <w:tab w:val="clear" w:pos="567"/>
        <w:tab w:val="left" w:pos="425"/>
      </w:tabs>
      <w:spacing w:before="60" w:after="60" w:line="240" w:lineRule="auto"/>
    </w:pPr>
    <w:rPr>
      <w:szCs w:val="24"/>
    </w:rPr>
  </w:style>
  <w:style w:type="paragraph" w:customStyle="1" w:styleId="TableContentsCentered">
    <w:name w:val="Table Contents Centered"/>
    <w:basedOn w:val="TableContentsLeft"/>
    <w:semiHidden/>
    <w:rsid w:val="00807BAC"/>
    <w:pPr>
      <w:jc w:val="center"/>
    </w:pPr>
  </w:style>
  <w:style w:type="paragraph" w:customStyle="1" w:styleId="TableContentsRight">
    <w:name w:val="Table Contents Right"/>
    <w:basedOn w:val="TableContentsLeft"/>
    <w:semiHidden/>
    <w:rsid w:val="00807BAC"/>
    <w:pPr>
      <w:jc w:val="right"/>
    </w:pPr>
  </w:style>
  <w:style w:type="paragraph" w:customStyle="1" w:styleId="TableHeadingLeft">
    <w:name w:val="Table Heading Left"/>
    <w:basedOn w:val="Normal"/>
    <w:semiHidden/>
    <w:rsid w:val="00807BAC"/>
    <w:pPr>
      <w:keepLines w:val="0"/>
      <w:tabs>
        <w:tab w:val="clear" w:pos="567"/>
        <w:tab w:val="left" w:pos="425"/>
      </w:tabs>
      <w:spacing w:before="60" w:after="60" w:line="240" w:lineRule="auto"/>
    </w:pPr>
    <w:rPr>
      <w:b/>
      <w:szCs w:val="24"/>
    </w:rPr>
  </w:style>
  <w:style w:type="paragraph" w:customStyle="1" w:styleId="TableHeadingRight">
    <w:name w:val="Table Heading Right"/>
    <w:basedOn w:val="TableHeadingLeft"/>
    <w:semiHidden/>
    <w:rsid w:val="00807BAC"/>
    <w:pPr>
      <w:jc w:val="right"/>
    </w:pPr>
  </w:style>
  <w:style w:type="paragraph" w:customStyle="1" w:styleId="TableHeadingCentered">
    <w:name w:val="Table Heading Centered"/>
    <w:basedOn w:val="TableHeadingRight"/>
    <w:semiHidden/>
    <w:rsid w:val="00807BAC"/>
    <w:pPr>
      <w:jc w:val="center"/>
    </w:pPr>
  </w:style>
  <w:style w:type="paragraph" w:customStyle="1" w:styleId="Tablenotes">
    <w:name w:val="Table notes"/>
    <w:basedOn w:val="Caption"/>
    <w:semiHidden/>
    <w:rsid w:val="003467F4"/>
    <w:pPr>
      <w:tabs>
        <w:tab w:val="clear" w:pos="567"/>
        <w:tab w:val="left" w:pos="425"/>
      </w:tabs>
      <w:spacing w:before="80" w:after="300" w:line="200" w:lineRule="atLeast"/>
    </w:pPr>
    <w:rPr>
      <w:rFonts w:cs="Arial"/>
      <w:b w:val="0"/>
      <w:color w:val="000000"/>
      <w:sz w:val="16"/>
    </w:rPr>
  </w:style>
  <w:style w:type="paragraph" w:styleId="Caption">
    <w:name w:val="caption"/>
    <w:basedOn w:val="Normal"/>
    <w:next w:val="Normal"/>
    <w:qFormat/>
    <w:rsid w:val="003467F4"/>
    <w:rPr>
      <w:b/>
      <w:bCs/>
      <w:sz w:val="20"/>
      <w:szCs w:val="20"/>
    </w:rPr>
  </w:style>
  <w:style w:type="table" w:customStyle="1" w:styleId="DHHSTableStyle">
    <w:name w:val="DHHS Table Style"/>
    <w:basedOn w:val="TableNormal"/>
    <w:semiHidden/>
    <w:rsid w:val="00DA0C4A"/>
    <w:pPr>
      <w:spacing w:before="20" w:after="20"/>
    </w:pPr>
    <w:rPr>
      <w:rFonts w:ascii="Gill Sans MT" w:hAnsi="Gill Sans MT"/>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tyle">
    <w:name w:val="Table Style"/>
    <w:basedOn w:val="Normal"/>
    <w:semiHidden/>
    <w:rsid w:val="002279A5"/>
    <w:pPr>
      <w:keepLines w:val="0"/>
      <w:spacing w:before="20" w:after="20" w:line="240" w:lineRule="auto"/>
    </w:pPr>
    <w:rPr>
      <w:szCs w:val="20"/>
    </w:rPr>
  </w:style>
  <w:style w:type="paragraph" w:styleId="BalloonText">
    <w:name w:val="Balloon Text"/>
    <w:basedOn w:val="Normal"/>
    <w:semiHidden/>
    <w:rsid w:val="00AF2199"/>
    <w:rPr>
      <w:rFonts w:ascii="Tahoma" w:hAnsi="Tahoma" w:cs="Tahoma"/>
      <w:sz w:val="16"/>
      <w:szCs w:val="16"/>
    </w:rPr>
  </w:style>
  <w:style w:type="paragraph" w:customStyle="1" w:styleId="Default">
    <w:name w:val="Default"/>
    <w:rsid w:val="00556F02"/>
    <w:pPr>
      <w:widowControl w:val="0"/>
      <w:autoSpaceDE w:val="0"/>
      <w:autoSpaceDN w:val="0"/>
      <w:adjustRightInd w:val="0"/>
    </w:pPr>
    <w:rPr>
      <w:rFonts w:ascii="Gill Sans MT" w:hAnsi="Gill Sans MT" w:cs="Gill Sans MT"/>
      <w:color w:val="000000"/>
      <w:sz w:val="24"/>
      <w:szCs w:val="24"/>
    </w:rPr>
  </w:style>
  <w:style w:type="paragraph" w:customStyle="1" w:styleId="ClearedByText">
    <w:name w:val="Cleared By Text"/>
    <w:semiHidden/>
    <w:rsid w:val="0091424A"/>
    <w:pPr>
      <w:keepNext/>
      <w:spacing w:before="40" w:after="40"/>
    </w:pPr>
    <w:rPr>
      <w:rFonts w:ascii="Gill Sans MT" w:hAnsi="Gill Sans MT"/>
      <w:szCs w:val="22"/>
      <w:lang w:eastAsia="en-US"/>
    </w:rPr>
  </w:style>
  <w:style w:type="character" w:styleId="Hyperlink">
    <w:name w:val="Hyperlink"/>
    <w:basedOn w:val="DefaultParagraphFont"/>
    <w:uiPriority w:val="99"/>
    <w:qFormat/>
    <w:rsid w:val="003C3DEB"/>
    <w:rPr>
      <w:color w:val="0000FF"/>
      <w:u w:val="single"/>
    </w:rPr>
  </w:style>
  <w:style w:type="character" w:customStyle="1" w:styleId="BulletedListLevel1Char">
    <w:name w:val="Bulleted List Level 1 Char"/>
    <w:basedOn w:val="DefaultParagraphFont"/>
    <w:link w:val="BulletedListLevel1"/>
    <w:uiPriority w:val="3"/>
    <w:rsid w:val="003C3DEB"/>
    <w:rPr>
      <w:rFonts w:ascii="Gill Sans MT" w:hAnsi="Gill Sans MT"/>
      <w:sz w:val="22"/>
      <w:szCs w:val="24"/>
      <w:lang w:eastAsia="en-US"/>
    </w:rPr>
  </w:style>
  <w:style w:type="paragraph" w:styleId="ListBullet">
    <w:name w:val="List Bullet"/>
    <w:basedOn w:val="BulletedListLevel1"/>
    <w:rsid w:val="003467F4"/>
  </w:style>
  <w:style w:type="paragraph" w:styleId="ListBullet2">
    <w:name w:val="List Bullet 2"/>
    <w:basedOn w:val="BulletedListLevel2"/>
    <w:rsid w:val="003467F4"/>
  </w:style>
  <w:style w:type="paragraph" w:styleId="ListBullet3">
    <w:name w:val="List Bullet 3"/>
    <w:basedOn w:val="BulletedListLevel3"/>
    <w:rsid w:val="003467F4"/>
  </w:style>
  <w:style w:type="paragraph" w:styleId="ListNumber">
    <w:name w:val="List Number"/>
    <w:basedOn w:val="NumberedList"/>
    <w:rsid w:val="003467F4"/>
    <w:pPr>
      <w:numPr>
        <w:numId w:val="7"/>
      </w:numPr>
    </w:pPr>
  </w:style>
  <w:style w:type="paragraph" w:styleId="ListNumber2">
    <w:name w:val="List Number 2"/>
    <w:basedOn w:val="BulletedIndentedafterNumber"/>
    <w:rsid w:val="003467F4"/>
  </w:style>
  <w:style w:type="paragraph" w:styleId="TOC1">
    <w:name w:val="toc 1"/>
    <w:basedOn w:val="TableHeadingLeft"/>
    <w:next w:val="Normal"/>
    <w:autoRedefine/>
    <w:rsid w:val="003467F4"/>
  </w:style>
  <w:style w:type="paragraph" w:styleId="TOC2">
    <w:name w:val="toc 2"/>
    <w:basedOn w:val="TableHeadingCentered"/>
    <w:next w:val="Normal"/>
    <w:autoRedefine/>
    <w:rsid w:val="003467F4"/>
  </w:style>
  <w:style w:type="paragraph" w:styleId="TOC3">
    <w:name w:val="toc 3"/>
    <w:basedOn w:val="TableHeadingRight"/>
    <w:next w:val="Normal"/>
    <w:autoRedefine/>
    <w:rsid w:val="003467F4"/>
  </w:style>
  <w:style w:type="paragraph" w:styleId="TOC4">
    <w:name w:val="toc 4"/>
    <w:basedOn w:val="Tablenotes"/>
    <w:next w:val="Normal"/>
    <w:autoRedefine/>
    <w:rsid w:val="003467F4"/>
  </w:style>
  <w:style w:type="paragraph" w:styleId="TOC5">
    <w:name w:val="toc 5"/>
    <w:basedOn w:val="TableBulletedList"/>
    <w:next w:val="Normal"/>
    <w:autoRedefine/>
    <w:rsid w:val="003467F4"/>
  </w:style>
  <w:style w:type="paragraph" w:styleId="TOC6">
    <w:name w:val="toc 6"/>
    <w:basedOn w:val="TableContentsLeft"/>
    <w:next w:val="Normal"/>
    <w:autoRedefine/>
    <w:rsid w:val="003467F4"/>
  </w:style>
  <w:style w:type="paragraph" w:styleId="TOC7">
    <w:name w:val="toc 7"/>
    <w:basedOn w:val="TableContentsCentered"/>
    <w:next w:val="Normal"/>
    <w:autoRedefine/>
    <w:rsid w:val="003467F4"/>
  </w:style>
  <w:style w:type="paragraph" w:styleId="TOC8">
    <w:name w:val="toc 8"/>
    <w:basedOn w:val="TableContentsRight"/>
    <w:next w:val="Normal"/>
    <w:autoRedefine/>
    <w:rsid w:val="003467F4"/>
  </w:style>
  <w:style w:type="paragraph" w:styleId="ListParagraph">
    <w:name w:val="List Paragraph"/>
    <w:aliases w:val="NFP GP Bulleted List,List Paragraph1,Recommendation,Bullet table,List Paragraph11,First level bullet point,Bullet point,Body text,Body Text1"/>
    <w:basedOn w:val="Normal"/>
    <w:link w:val="ListParagraphChar"/>
    <w:uiPriority w:val="99"/>
    <w:qFormat/>
    <w:rsid w:val="006A25E8"/>
    <w:pPr>
      <w:ind w:left="720"/>
      <w:contextualSpacing/>
    </w:pPr>
  </w:style>
  <w:style w:type="character" w:customStyle="1" w:styleId="ListParagraphChar">
    <w:name w:val="List Paragraph Char"/>
    <w:aliases w:val="NFP GP Bulleted List Char,List Paragraph1 Char,Recommendation Char,Bullet table Char,List Paragraph11 Char,First level bullet point Char,Bullet point Char,Body text Char,Body Text1 Char"/>
    <w:link w:val="ListParagraph"/>
    <w:uiPriority w:val="99"/>
    <w:locked/>
    <w:rsid w:val="006A25E8"/>
    <w:rPr>
      <w:rFonts w:ascii="Gill Sans MT" w:hAnsi="Gill Sans MT"/>
      <w:sz w:val="22"/>
      <w:szCs w:val="22"/>
      <w:lang w:eastAsia="en-US"/>
    </w:rPr>
  </w:style>
  <w:style w:type="character" w:customStyle="1" w:styleId="googqs-tidbitgoogqs-tidbit-0">
    <w:name w:val="goog_qs-tidbit goog_qs-tidbit-0"/>
    <w:basedOn w:val="DefaultParagraphFont"/>
    <w:rsid w:val="006A25E8"/>
  </w:style>
  <w:style w:type="character" w:styleId="UnresolvedMention">
    <w:name w:val="Unresolved Mention"/>
    <w:basedOn w:val="DefaultParagraphFont"/>
    <w:uiPriority w:val="99"/>
    <w:semiHidden/>
    <w:unhideWhenUsed/>
    <w:rsid w:val="006A25E8"/>
    <w:rPr>
      <w:color w:val="605E5C"/>
      <w:shd w:val="clear" w:color="auto" w:fill="E1DFDD"/>
    </w:rPr>
  </w:style>
  <w:style w:type="paragraph" w:styleId="NoSpacing">
    <w:name w:val="No Spacing"/>
    <w:uiPriority w:val="1"/>
    <w:qFormat/>
    <w:rsid w:val="00427F7F"/>
    <w:rPr>
      <w:rFonts w:ascii="Calibri" w:eastAsia="Calibri" w:hAnsi="Calibri"/>
      <w:sz w:val="22"/>
      <w:szCs w:val="22"/>
      <w:lang w:eastAsia="en-US"/>
    </w:rPr>
  </w:style>
  <w:style w:type="paragraph" w:styleId="NormalWeb">
    <w:name w:val="Normal (Web)"/>
    <w:basedOn w:val="Normal"/>
    <w:uiPriority w:val="99"/>
    <w:rsid w:val="00427F7F"/>
    <w:pPr>
      <w:keepLines w:val="0"/>
      <w:tabs>
        <w:tab w:val="clear" w:pos="567"/>
      </w:tabs>
      <w:spacing w:after="240" w:line="276" w:lineRule="auto"/>
    </w:pPr>
    <w:rPr>
      <w:rFonts w:ascii="Calibri" w:eastAsia="Calibri" w:hAnsi="Calibri"/>
    </w:rPr>
  </w:style>
  <w:style w:type="character" w:styleId="FootnoteReference">
    <w:name w:val="footnote reference"/>
    <w:rsid w:val="00427F7F"/>
    <w:rPr>
      <w:vertAlign w:val="superscript"/>
    </w:rPr>
  </w:style>
  <w:style w:type="character" w:styleId="CommentReference">
    <w:name w:val="annotation reference"/>
    <w:basedOn w:val="DefaultParagraphFont"/>
    <w:semiHidden/>
    <w:unhideWhenUsed/>
    <w:rsid w:val="00073CB9"/>
    <w:rPr>
      <w:sz w:val="16"/>
      <w:szCs w:val="16"/>
    </w:rPr>
  </w:style>
  <w:style w:type="paragraph" w:styleId="CommentText">
    <w:name w:val="annotation text"/>
    <w:basedOn w:val="Normal"/>
    <w:link w:val="CommentTextChar"/>
    <w:unhideWhenUsed/>
    <w:rsid w:val="00073CB9"/>
    <w:pPr>
      <w:spacing w:line="240" w:lineRule="auto"/>
    </w:pPr>
    <w:rPr>
      <w:sz w:val="20"/>
      <w:szCs w:val="20"/>
    </w:rPr>
  </w:style>
  <w:style w:type="character" w:customStyle="1" w:styleId="CommentTextChar">
    <w:name w:val="Comment Text Char"/>
    <w:basedOn w:val="DefaultParagraphFont"/>
    <w:link w:val="CommentText"/>
    <w:rsid w:val="00073CB9"/>
    <w:rPr>
      <w:rFonts w:ascii="Gill Sans MT" w:hAnsi="Gill Sans MT"/>
      <w:lang w:eastAsia="en-US"/>
    </w:rPr>
  </w:style>
  <w:style w:type="paragraph" w:styleId="CommentSubject">
    <w:name w:val="annotation subject"/>
    <w:basedOn w:val="CommentText"/>
    <w:next w:val="CommentText"/>
    <w:link w:val="CommentSubjectChar"/>
    <w:semiHidden/>
    <w:unhideWhenUsed/>
    <w:rsid w:val="00073CB9"/>
    <w:rPr>
      <w:b/>
      <w:bCs/>
    </w:rPr>
  </w:style>
  <w:style w:type="character" w:customStyle="1" w:styleId="CommentSubjectChar">
    <w:name w:val="Comment Subject Char"/>
    <w:basedOn w:val="CommentTextChar"/>
    <w:link w:val="CommentSubject"/>
    <w:semiHidden/>
    <w:rsid w:val="00073CB9"/>
    <w:rPr>
      <w:rFonts w:ascii="Gill Sans MT" w:hAnsi="Gill Sans MT"/>
      <w:b/>
      <w:bCs/>
      <w:lang w:eastAsia="en-US"/>
    </w:rPr>
  </w:style>
  <w:style w:type="character" w:customStyle="1" w:styleId="Heading4Char">
    <w:name w:val="Heading 4 Char"/>
    <w:basedOn w:val="DefaultParagraphFont"/>
    <w:link w:val="Heading4"/>
    <w:rsid w:val="00506231"/>
    <w:rPr>
      <w:rFonts w:ascii="Gill Sans MT" w:hAnsi="Gill Sans MT"/>
      <w:b/>
      <w:bCs/>
      <w:sz w:val="24"/>
      <w:szCs w:val="22"/>
    </w:rPr>
  </w:style>
  <w:style w:type="character" w:customStyle="1" w:styleId="BulletedListLevel3Char">
    <w:name w:val="Bulleted List Level 3 Char"/>
    <w:basedOn w:val="DefaultParagraphFont"/>
    <w:link w:val="BulletedListLevel3"/>
    <w:uiPriority w:val="3"/>
    <w:rsid w:val="00506231"/>
    <w:rPr>
      <w:rFonts w:ascii="Gill Sans MT" w:hAnsi="Gill Sans MT" w:cs="Arial"/>
      <w:snapToGrid w:val="0"/>
      <w:kern w:val="28"/>
      <w:sz w:val="22"/>
      <w:lang w:eastAsia="en-US"/>
    </w:rPr>
  </w:style>
  <w:style w:type="character" w:customStyle="1" w:styleId="A6">
    <w:name w:val="A6"/>
    <w:uiPriority w:val="99"/>
    <w:rsid w:val="00976CCC"/>
    <w:rPr>
      <w:rFonts w:cs="Helvetica Neue LT Std"/>
      <w:color w:val="000000"/>
      <w:sz w:val="11"/>
      <w:szCs w:val="11"/>
    </w:rPr>
  </w:style>
  <w:style w:type="paragraph" w:styleId="Revision">
    <w:name w:val="Revision"/>
    <w:hidden/>
    <w:uiPriority w:val="99"/>
    <w:semiHidden/>
    <w:rsid w:val="001D056E"/>
    <w:rPr>
      <w:rFonts w:ascii="Gill Sans MT" w:hAnsi="Gill Sans MT"/>
      <w:sz w:val="22"/>
      <w:szCs w:val="22"/>
      <w:lang w:eastAsia="en-US"/>
    </w:rPr>
  </w:style>
  <w:style w:type="character" w:styleId="FollowedHyperlink">
    <w:name w:val="FollowedHyperlink"/>
    <w:basedOn w:val="DefaultParagraphFont"/>
    <w:semiHidden/>
    <w:unhideWhenUsed/>
    <w:rsid w:val="005D185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561446">
      <w:bodyDiv w:val="1"/>
      <w:marLeft w:val="0"/>
      <w:marRight w:val="0"/>
      <w:marTop w:val="0"/>
      <w:marBottom w:val="0"/>
      <w:divBdr>
        <w:top w:val="none" w:sz="0" w:space="0" w:color="auto"/>
        <w:left w:val="none" w:sz="0" w:space="0" w:color="auto"/>
        <w:bottom w:val="none" w:sz="0" w:space="0" w:color="auto"/>
        <w:right w:val="none" w:sz="0" w:space="0" w:color="auto"/>
      </w:divBdr>
    </w:div>
    <w:div w:id="765735527">
      <w:bodyDiv w:val="1"/>
      <w:marLeft w:val="0"/>
      <w:marRight w:val="0"/>
      <w:marTop w:val="0"/>
      <w:marBottom w:val="0"/>
      <w:divBdr>
        <w:top w:val="none" w:sz="0" w:space="0" w:color="auto"/>
        <w:left w:val="none" w:sz="0" w:space="0" w:color="auto"/>
        <w:bottom w:val="none" w:sz="0" w:space="0" w:color="auto"/>
        <w:right w:val="none" w:sz="0" w:space="0" w:color="auto"/>
      </w:divBdr>
    </w:div>
    <w:div w:id="798643567">
      <w:bodyDiv w:val="1"/>
      <w:marLeft w:val="0"/>
      <w:marRight w:val="0"/>
      <w:marTop w:val="0"/>
      <w:marBottom w:val="0"/>
      <w:divBdr>
        <w:top w:val="none" w:sz="0" w:space="0" w:color="auto"/>
        <w:left w:val="none" w:sz="0" w:space="0" w:color="auto"/>
        <w:bottom w:val="none" w:sz="0" w:space="0" w:color="auto"/>
        <w:right w:val="none" w:sz="0" w:space="0" w:color="auto"/>
      </w:divBdr>
    </w:div>
    <w:div w:id="800809967">
      <w:bodyDiv w:val="1"/>
      <w:marLeft w:val="0"/>
      <w:marRight w:val="0"/>
      <w:marTop w:val="0"/>
      <w:marBottom w:val="0"/>
      <w:divBdr>
        <w:top w:val="none" w:sz="0" w:space="0" w:color="auto"/>
        <w:left w:val="none" w:sz="0" w:space="0" w:color="auto"/>
        <w:bottom w:val="none" w:sz="0" w:space="0" w:color="auto"/>
        <w:right w:val="none" w:sz="0" w:space="0" w:color="auto"/>
      </w:divBdr>
    </w:div>
    <w:div w:id="847863983">
      <w:bodyDiv w:val="1"/>
      <w:marLeft w:val="0"/>
      <w:marRight w:val="0"/>
      <w:marTop w:val="0"/>
      <w:marBottom w:val="0"/>
      <w:divBdr>
        <w:top w:val="none" w:sz="0" w:space="0" w:color="auto"/>
        <w:left w:val="none" w:sz="0" w:space="0" w:color="auto"/>
        <w:bottom w:val="none" w:sz="0" w:space="0" w:color="auto"/>
        <w:right w:val="none" w:sz="0" w:space="0" w:color="auto"/>
      </w:divBdr>
    </w:div>
    <w:div w:id="905798008">
      <w:bodyDiv w:val="1"/>
      <w:marLeft w:val="0"/>
      <w:marRight w:val="0"/>
      <w:marTop w:val="0"/>
      <w:marBottom w:val="0"/>
      <w:divBdr>
        <w:top w:val="none" w:sz="0" w:space="0" w:color="auto"/>
        <w:left w:val="none" w:sz="0" w:space="0" w:color="auto"/>
        <w:bottom w:val="none" w:sz="0" w:space="0" w:color="auto"/>
        <w:right w:val="none" w:sz="0" w:space="0" w:color="auto"/>
      </w:divBdr>
      <w:divsChild>
        <w:div w:id="373505361">
          <w:marLeft w:val="547"/>
          <w:marRight w:val="0"/>
          <w:marTop w:val="200"/>
          <w:marBottom w:val="0"/>
          <w:divBdr>
            <w:top w:val="none" w:sz="0" w:space="0" w:color="auto"/>
            <w:left w:val="none" w:sz="0" w:space="0" w:color="auto"/>
            <w:bottom w:val="none" w:sz="0" w:space="0" w:color="auto"/>
            <w:right w:val="none" w:sz="0" w:space="0" w:color="auto"/>
          </w:divBdr>
        </w:div>
        <w:div w:id="2051881448">
          <w:marLeft w:val="1166"/>
          <w:marRight w:val="0"/>
          <w:marTop w:val="200"/>
          <w:marBottom w:val="0"/>
          <w:divBdr>
            <w:top w:val="none" w:sz="0" w:space="0" w:color="auto"/>
            <w:left w:val="none" w:sz="0" w:space="0" w:color="auto"/>
            <w:bottom w:val="none" w:sz="0" w:space="0" w:color="auto"/>
            <w:right w:val="none" w:sz="0" w:space="0" w:color="auto"/>
          </w:divBdr>
        </w:div>
        <w:div w:id="2129816068">
          <w:marLeft w:val="1166"/>
          <w:marRight w:val="0"/>
          <w:marTop w:val="200"/>
          <w:marBottom w:val="0"/>
          <w:divBdr>
            <w:top w:val="none" w:sz="0" w:space="0" w:color="auto"/>
            <w:left w:val="none" w:sz="0" w:space="0" w:color="auto"/>
            <w:bottom w:val="none" w:sz="0" w:space="0" w:color="auto"/>
            <w:right w:val="none" w:sz="0" w:space="0" w:color="auto"/>
          </w:divBdr>
        </w:div>
      </w:divsChild>
    </w:div>
    <w:div w:id="1110247979">
      <w:bodyDiv w:val="1"/>
      <w:marLeft w:val="0"/>
      <w:marRight w:val="0"/>
      <w:marTop w:val="0"/>
      <w:marBottom w:val="0"/>
      <w:divBdr>
        <w:top w:val="none" w:sz="0" w:space="0" w:color="auto"/>
        <w:left w:val="none" w:sz="0" w:space="0" w:color="auto"/>
        <w:bottom w:val="none" w:sz="0" w:space="0" w:color="auto"/>
        <w:right w:val="none" w:sz="0" w:space="0" w:color="auto"/>
      </w:divBdr>
    </w:div>
    <w:div w:id="1350637622">
      <w:bodyDiv w:val="1"/>
      <w:marLeft w:val="0"/>
      <w:marRight w:val="0"/>
      <w:marTop w:val="0"/>
      <w:marBottom w:val="0"/>
      <w:divBdr>
        <w:top w:val="none" w:sz="0" w:space="0" w:color="auto"/>
        <w:left w:val="none" w:sz="0" w:space="0" w:color="auto"/>
        <w:bottom w:val="none" w:sz="0" w:space="0" w:color="auto"/>
        <w:right w:val="none" w:sz="0" w:space="0" w:color="auto"/>
      </w:divBdr>
    </w:div>
    <w:div w:id="1357120486">
      <w:bodyDiv w:val="1"/>
      <w:marLeft w:val="0"/>
      <w:marRight w:val="0"/>
      <w:marTop w:val="0"/>
      <w:marBottom w:val="0"/>
      <w:divBdr>
        <w:top w:val="none" w:sz="0" w:space="0" w:color="auto"/>
        <w:left w:val="none" w:sz="0" w:space="0" w:color="auto"/>
        <w:bottom w:val="none" w:sz="0" w:space="0" w:color="auto"/>
        <w:right w:val="none" w:sz="0" w:space="0" w:color="auto"/>
      </w:divBdr>
    </w:div>
    <w:div w:id="1422987903">
      <w:bodyDiv w:val="1"/>
      <w:marLeft w:val="0"/>
      <w:marRight w:val="0"/>
      <w:marTop w:val="0"/>
      <w:marBottom w:val="0"/>
      <w:divBdr>
        <w:top w:val="none" w:sz="0" w:space="0" w:color="auto"/>
        <w:left w:val="none" w:sz="0" w:space="0" w:color="auto"/>
        <w:bottom w:val="none" w:sz="0" w:space="0" w:color="auto"/>
        <w:right w:val="none" w:sz="0" w:space="0" w:color="auto"/>
      </w:divBdr>
    </w:div>
    <w:div w:id="1713454832">
      <w:bodyDiv w:val="1"/>
      <w:marLeft w:val="0"/>
      <w:marRight w:val="0"/>
      <w:marTop w:val="0"/>
      <w:marBottom w:val="0"/>
      <w:divBdr>
        <w:top w:val="none" w:sz="0" w:space="0" w:color="auto"/>
        <w:left w:val="none" w:sz="0" w:space="0" w:color="auto"/>
        <w:bottom w:val="none" w:sz="0" w:space="0" w:color="auto"/>
        <w:right w:val="none" w:sz="0" w:space="0" w:color="auto"/>
      </w:divBdr>
    </w:div>
    <w:div w:id="1966740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s://www.hqip.org.uk/wp-content/uploads/2021/01/Final-2021-Guide-to-managing-ethical-issues-in-QI-and-CA-projects.pdf" TargetMode="External"/><Relationship Id="rId26" Type="http://schemas.openxmlformats.org/officeDocument/2006/relationships/hyperlink" Target="https://www.health.tas.gov.au/research/research_governance" TargetMode="External"/><Relationship Id="rId3" Type="http://schemas.openxmlformats.org/officeDocument/2006/relationships/styles" Target="styles.xml"/><Relationship Id="rId21" Type="http://schemas.openxmlformats.org/officeDocument/2006/relationships/hyperlink" Target="https://www.nhmrc.gov.au/sites/default/files/documents/reports/framework-monitoring.pdf"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nhmrc.gov.au/about-us/resources/ethical-considerations-quality-assurance-and-evaluation-activities" TargetMode="External"/><Relationship Id="rId25" Type="http://schemas.openxmlformats.org/officeDocument/2006/relationships/hyperlink" Target="https://www.health.tas.gov.au/research/research_governance" TargetMode="External"/><Relationship Id="rId2" Type="http://schemas.openxmlformats.org/officeDocument/2006/relationships/numbering" Target="numbering.xml"/><Relationship Id="rId16" Type="http://schemas.openxmlformats.org/officeDocument/2006/relationships/hyperlink" Target="https://www.nhmrc.gov.au/about-us/publications/national-statement-ethical-conduct-human-research-2007-updated-2018" TargetMode="External"/><Relationship Id="rId20" Type="http://schemas.openxmlformats.org/officeDocument/2006/relationships/hyperlink" Target="https://www.nhmrc.gov.au/about-us/publications/national-statement-ethical-conduct-human-research-2007-updated-2018"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health.tas.gov.au/research/research_governance" TargetMode="External"/><Relationship Id="rId5" Type="http://schemas.openxmlformats.org/officeDocument/2006/relationships/webSettings" Target="webSettings.xml"/><Relationship Id="rId15" Type="http://schemas.openxmlformats.org/officeDocument/2006/relationships/hyperlink" Target="https://www.health.tas.gov.au/about/research/research-governance" TargetMode="External"/><Relationship Id="rId23" Type="http://schemas.openxmlformats.org/officeDocument/2006/relationships/hyperlink" Target="https://www.health.tas.gov.au/research/research_governance" TargetMode="External"/><Relationship Id="rId28" Type="http://schemas.openxmlformats.org/officeDocument/2006/relationships/image" Target="media/image2.png"/><Relationship Id="rId10" Type="http://schemas.openxmlformats.org/officeDocument/2006/relationships/header" Target="header2.xml"/><Relationship Id="rId19" Type="http://schemas.openxmlformats.org/officeDocument/2006/relationships/hyperlink" Target="https://www.health.tas.gov.au/intranet/ots/ots/corporate_planning_and_risk/dhhs_delegations_and_administrative_authorities"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nhmrc.gov.au/sites/default/files/documents/reports/research-governance-handbook.pdf" TargetMode="External"/><Relationship Id="rId27" Type="http://schemas.openxmlformats.org/officeDocument/2006/relationships/hyperlink" Target="https://www.hqip.org.uk/resource/guide-to-managing-ethical-issues-in-quality-improvement-or-clinical-audit-projects/"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D64F44-6DDC-4E8A-9E2C-5CB3A2005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16</Pages>
  <Words>6078</Words>
  <Characters>34651</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Procedure Template</vt:lpstr>
    </vt:vector>
  </TitlesOfParts>
  <Company>DHHS</Company>
  <LinksUpToDate>false</LinksUpToDate>
  <CharactersWithSpaces>40648</CharactersWithSpaces>
  <SharedDoc>false</SharedDoc>
  <HLinks>
    <vt:vector size="12" baseType="variant">
      <vt:variant>
        <vt:i4>655442</vt:i4>
      </vt:variant>
      <vt:variant>
        <vt:i4>93</vt:i4>
      </vt:variant>
      <vt:variant>
        <vt:i4>0</vt:i4>
      </vt:variant>
      <vt:variant>
        <vt:i4>5</vt:i4>
      </vt:variant>
      <vt:variant>
        <vt:lpwstr>http://pssbpr-trim02/PandP/showdoc.aspx?recnum=P2010/0020-001</vt:lpwstr>
      </vt:variant>
      <vt:variant>
        <vt:lpwstr/>
      </vt:variant>
      <vt:variant>
        <vt:i4>7667714</vt:i4>
      </vt:variant>
      <vt:variant>
        <vt:i4>90</vt:i4>
      </vt:variant>
      <vt:variant>
        <vt:i4>0</vt:i4>
      </vt:variant>
      <vt:variant>
        <vt:i4>5</vt:i4>
      </vt:variant>
      <vt:variant>
        <vt:lpwstr/>
      </vt:variant>
      <vt:variant>
        <vt:lpwstr>_Attachment_1_–</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 Template</dc:title>
  <dc:subject/>
  <dc:creator>taharley</dc:creator>
  <cp:keywords/>
  <dc:description/>
  <cp:lastModifiedBy>Hoare, Kathryn L</cp:lastModifiedBy>
  <cp:revision>5</cp:revision>
  <cp:lastPrinted>2022-04-11T02:33:00Z</cp:lastPrinted>
  <dcterms:created xsi:type="dcterms:W3CDTF">2022-11-10T00:21:00Z</dcterms:created>
  <dcterms:modified xsi:type="dcterms:W3CDTF">2024-08-29T00:15:00Z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OpUnit">
    <vt:lpwstr>Departmental or Service Group/Unit Responsible for this Procedure</vt:lpwstr>
  </property>
  <property fmtid="{D5CDD505-2E9C-101B-9397-08002B2CF9AE}" pid="3" name="EffectiveDate">
    <vt:lpwstr>1 January, 2022</vt:lpwstr>
  </property>
  <property fmtid="{D5CDD505-2E9C-101B-9397-08002B2CF9AE}" pid="4" name="ReviewDate">
    <vt:lpwstr>1 January, 2024</vt:lpwstr>
  </property>
  <property fmtid="{D5CDD505-2E9C-101B-9397-08002B2CF9AE}" pid="5" name="Replaces">
    <vt:lpwstr>N/A</vt:lpwstr>
  </property>
  <property fmtid="{D5CDD505-2E9C-101B-9397-08002B2CF9AE}" pid="6" name="DeptOpUnit1">
    <vt:lpwstr/>
  </property>
  <property fmtid="{D5CDD505-2E9C-101B-9397-08002B2CF9AE}" pid="7" name="EffectiveDate1">
    <vt:lpwstr/>
  </property>
  <property fmtid="{D5CDD505-2E9C-101B-9397-08002B2CF9AE}" pid="8" name="ReviewDate1">
    <vt:lpwstr/>
  </property>
  <property fmtid="{D5CDD505-2E9C-101B-9397-08002B2CF9AE}" pid="9" name="Replaces1">
    <vt:lpwstr/>
  </property>
  <property fmtid="{D5CDD505-2E9C-101B-9397-08002B2CF9AE}" pid="10" name="AppliesTo">
    <vt:lpwstr>All Staff</vt:lpwstr>
  </property>
  <property fmtid="{D5CDD505-2E9C-101B-9397-08002B2CF9AE}" pid="11" name="AppliesTo1">
    <vt:lpwstr/>
  </property>
  <property fmtid="{D5CDD505-2E9C-101B-9397-08002B2CF9AE}" pid="12" name="DocumentType">
    <vt:lpwstr/>
  </property>
  <property fmtid="{D5CDD505-2E9C-101B-9397-08002B2CF9AE}" pid="13" name="Status">
    <vt:lpwstr/>
  </property>
  <property fmtid="{D5CDD505-2E9C-101B-9397-08002B2CF9AE}" pid="14" name="StandardsBoundBy">
    <vt:lpwstr/>
  </property>
  <property fmtid="{D5CDD505-2E9C-101B-9397-08002B2CF9AE}" pid="15" name="Activity">
    <vt:lpwstr>Governance)</vt:lpwstr>
  </property>
  <property fmtid="{D5CDD505-2E9C-101B-9397-08002B2CF9AE}" pid="16" name="Group">
    <vt:lpwstr/>
  </property>
  <property fmtid="{D5CDD505-2E9C-101B-9397-08002B2CF9AE}" pid="17" name="PolicyID">
    <vt:lpwstr>Policy ID as assigned by IMTS</vt:lpwstr>
  </property>
  <property fmtid="{D5CDD505-2E9C-101B-9397-08002B2CF9AE}" pid="18" name="FunctionDHHS">
    <vt:lpwstr>(eg Corporate Administration</vt:lpwstr>
  </property>
  <property fmtid="{D5CDD505-2E9C-101B-9397-08002B2CF9AE}" pid="19" name="PolicyID1">
    <vt:lpwstr/>
  </property>
  <property fmtid="{D5CDD505-2E9C-101B-9397-08002B2CF9AE}" pid="20" name="DocumentType1">
    <vt:lpwstr/>
  </property>
  <property fmtid="{D5CDD505-2E9C-101B-9397-08002B2CF9AE}" pid="21" name="Status1">
    <vt:lpwstr/>
  </property>
  <property fmtid="{D5CDD505-2E9C-101B-9397-08002B2CF9AE}" pid="22" name="StandardsBoundBy1">
    <vt:lpwstr/>
  </property>
  <property fmtid="{D5CDD505-2E9C-101B-9397-08002B2CF9AE}" pid="23" name="FunctionDHHS1">
    <vt:lpwstr/>
  </property>
  <property fmtid="{D5CDD505-2E9C-101B-9397-08002B2CF9AE}" pid="24" name="Activity1">
    <vt:lpwstr/>
  </property>
  <property fmtid="{D5CDD505-2E9C-101B-9397-08002B2CF9AE}" pid="25" name="Group1">
    <vt:lpwstr/>
  </property>
  <property fmtid="{D5CDD505-2E9C-101B-9397-08002B2CF9AE}" pid="26" name="CustodianName">
    <vt:lpwstr>Dr Jodi Glading</vt:lpwstr>
  </property>
  <property fmtid="{D5CDD505-2E9C-101B-9397-08002B2CF9AE}" pid="27" name="CustodianPositionTitle">
    <vt:lpwstr>Deputy Chief Medical Officer </vt:lpwstr>
  </property>
  <property fmtid="{D5CDD505-2E9C-101B-9397-08002B2CF9AE}" pid="28" name="ApprovedByName">
    <vt:lpwstr/>
  </property>
  <property fmtid="{D5CDD505-2E9C-101B-9397-08002B2CF9AE}" pid="29" name="ApprovedByPositionTitle">
    <vt:lpwstr/>
  </property>
  <property fmtid="{D5CDD505-2E9C-101B-9397-08002B2CF9AE}" pid="30" name="CustodianName1">
    <vt:lpwstr/>
  </property>
  <property fmtid="{D5CDD505-2E9C-101B-9397-08002B2CF9AE}" pid="31" name="CustodianPositionTitle1">
    <vt:lpwstr/>
  </property>
  <property fmtid="{D5CDD505-2E9C-101B-9397-08002B2CF9AE}" pid="32" name="ApprovedByName1">
    <vt:lpwstr/>
  </property>
  <property fmtid="{D5CDD505-2E9C-101B-9397-08002B2CF9AE}" pid="33" name="ApprovedByPositionTitle1">
    <vt:lpwstr/>
  </property>
  <property fmtid="{D5CDD505-2E9C-101B-9397-08002B2CF9AE}" pid="34" name="Summary">
    <vt:lpwstr>Research Governance, Ethics, Human Reserach Ethics Committee, HREC, Low Risk, Negligible Risk, Quality Assurance, Quality Improvement, Audit, Ethics Exemption </vt:lpwstr>
  </property>
  <property fmtid="{D5CDD505-2E9C-101B-9397-08002B2CF9AE}" pid="35" name="Summary1">
    <vt:lpwstr/>
  </property>
  <property fmtid="{D5CDD505-2E9C-101B-9397-08002B2CF9AE}" pid="36" name="DistributedTo">
    <vt:lpwstr/>
  </property>
  <property fmtid="{D5CDD505-2E9C-101B-9397-08002B2CF9AE}" pid="37" name="Audience1">
    <vt:lpwstr/>
  </property>
  <property fmtid="{D5CDD505-2E9C-101B-9397-08002B2CF9AE}" pid="38" name="DistributedTo1">
    <vt:lpwstr/>
  </property>
  <property fmtid="{D5CDD505-2E9C-101B-9397-08002B2CF9AE}" pid="39" name="PreparedBy">
    <vt:lpwstr>Tanya Harley </vt:lpwstr>
  </property>
  <property fmtid="{D5CDD505-2E9C-101B-9397-08002B2CF9AE}" pid="40" name="PreparedPositionTitle">
    <vt:lpwstr>Research Governance - Project Coordinator </vt:lpwstr>
  </property>
  <property fmtid="{D5CDD505-2E9C-101B-9397-08002B2CF9AE}" pid="41" name="PreparedPhone">
    <vt:lpwstr>61660395</vt:lpwstr>
  </property>
  <property fmtid="{D5CDD505-2E9C-101B-9397-08002B2CF9AE}" pid="42" name="PreparedDate">
    <vt:lpwstr>1 June 2021</vt:lpwstr>
  </property>
  <property fmtid="{D5CDD505-2E9C-101B-9397-08002B2CF9AE}" pid="43" name="Through">
    <vt:lpwstr>Dr Jodi Glading</vt:lpwstr>
  </property>
  <property fmtid="{D5CDD505-2E9C-101B-9397-08002B2CF9AE}" pid="44" name="ThroughPositionTitle">
    <vt:lpwstr>Deputy Chief Medical Officer </vt:lpwstr>
  </property>
  <property fmtid="{D5CDD505-2E9C-101B-9397-08002B2CF9AE}" pid="45" name="ThroughDate">
    <vt:lpwstr/>
  </property>
  <property fmtid="{D5CDD505-2E9C-101B-9397-08002B2CF9AE}" pid="46" name="ThroughPhone">
    <vt:lpwstr>6166 0413</vt:lpwstr>
  </property>
  <property fmtid="{D5CDD505-2E9C-101B-9397-08002B2CF9AE}" pid="47" name="Through2">
    <vt:lpwstr/>
  </property>
  <property fmtid="{D5CDD505-2E9C-101B-9397-08002B2CF9AE}" pid="48" name="Through2PositionTitle">
    <vt:lpwstr/>
  </property>
  <property fmtid="{D5CDD505-2E9C-101B-9397-08002B2CF9AE}" pid="49" name="Through2Date">
    <vt:lpwstr/>
  </property>
  <property fmtid="{D5CDD505-2E9C-101B-9397-08002B2CF9AE}" pid="50" name="Through2Phone">
    <vt:lpwstr/>
  </property>
  <property fmtid="{D5CDD505-2E9C-101B-9397-08002B2CF9AE}" pid="51" name="ClearedBy">
    <vt:lpwstr>Professor Anthony Lawler</vt:lpwstr>
  </property>
  <property fmtid="{D5CDD505-2E9C-101B-9397-08002B2CF9AE}" pid="52" name="ClearedPhone">
    <vt:lpwstr>6166 1015</vt:lpwstr>
  </property>
  <property fmtid="{D5CDD505-2E9C-101B-9397-08002B2CF9AE}" pid="53" name="ClearedPositionTitle">
    <vt:lpwstr>Deputy Secretary, Clincial Quality Regulation and Accreditation </vt:lpwstr>
  </property>
  <property fmtid="{D5CDD505-2E9C-101B-9397-08002B2CF9AE}" pid="54" name="ClearedDate">
    <vt:lpwstr/>
  </property>
  <property fmtid="{D5CDD505-2E9C-101B-9397-08002B2CF9AE}" pid="55" name="PolicyType">
    <vt:lpwstr>Ministerial Policy, DoH wide Policy, Group/Unit Specific Policy</vt:lpwstr>
  </property>
  <property fmtid="{D5CDD505-2E9C-101B-9397-08002B2CF9AE}" pid="56" name="SelectDepartment">
    <vt:lpwstr/>
  </property>
  <property fmtid="{D5CDD505-2E9C-101B-9397-08002B2CF9AE}" pid="57" name="SelectRoutineDisclosureYes">
    <vt:lpwstr>Yes</vt:lpwstr>
  </property>
  <property fmtid="{D5CDD505-2E9C-101B-9397-08002B2CF9AE}" pid="58" name="SelectRoutineDisclosureNo">
    <vt:lpwstr>No</vt:lpwstr>
  </property>
  <property fmtid="{D5CDD505-2E9C-101B-9397-08002B2CF9AE}" pid="59" name="NoDetails">
    <vt:lpwstr>Details</vt:lpwstr>
  </property>
  <property fmtid="{D5CDD505-2E9C-101B-9397-08002B2CF9AE}" pid="60" name="SelectRoutineDisclosureYes1">
    <vt:lpwstr/>
  </property>
  <property fmtid="{D5CDD505-2E9C-101B-9397-08002B2CF9AE}" pid="61" name="SelectRoutineDisclosureNo1">
    <vt:lpwstr/>
  </property>
  <property fmtid="{D5CDD505-2E9C-101B-9397-08002B2CF9AE}" pid="62" name="NoDetails1">
    <vt:lpwstr/>
  </property>
  <property fmtid="{D5CDD505-2E9C-101B-9397-08002B2CF9AE}" pid="63" name="ProcedureTitle">
    <vt:lpwstr>Low and Negligible Research </vt:lpwstr>
  </property>
  <property fmtid="{D5CDD505-2E9C-101B-9397-08002B2CF9AE}" pid="64" name="ProcedureTitle1">
    <vt:lpwstr/>
  </property>
  <property fmtid="{D5CDD505-2E9C-101B-9397-08002B2CF9AE}" pid="65" name="OverarchingPolicy">
    <vt:lpwstr>Research Governance Policy Framework</vt:lpwstr>
  </property>
  <property fmtid="{D5CDD505-2E9C-101B-9397-08002B2CF9AE}" pid="66" name="OverarchingPolicy1">
    <vt:lpwstr/>
  </property>
  <property fmtid="{D5CDD505-2E9C-101B-9397-08002B2CF9AE}" pid="67" name="SelectTHS">
    <vt:lpwstr/>
  </property>
  <property fmtid="{D5CDD505-2E9C-101B-9397-08002B2CF9AE}" pid="68" name="SelectDepartment1">
    <vt:lpwstr/>
  </property>
  <property fmtid="{D5CDD505-2E9C-101B-9397-08002B2CF9AE}" pid="69" name="SelectTHS1">
    <vt:lpwstr/>
  </property>
  <property fmtid="{D5CDD505-2E9C-101B-9397-08002B2CF9AE}" pid="70" name="THSUnit">
    <vt:lpwstr>Hospital, Sub-branch, Unit etc</vt:lpwstr>
  </property>
  <property fmtid="{D5CDD505-2E9C-101B-9397-08002B2CF9AE}" pid="71" name="THSUnit1">
    <vt:lpwstr/>
  </property>
  <property fmtid="{D5CDD505-2E9C-101B-9397-08002B2CF9AE}" pid="72" name="PolicyTitle1">
    <vt:lpwstr/>
  </property>
</Properties>
</file>