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064136" w14:paraId="781F93A2" w14:textId="77777777" w:rsidTr="00064136">
        <w:tc>
          <w:tcPr>
            <w:tcW w:w="6744" w:type="dxa"/>
            <w:gridSpan w:val="2"/>
            <w:tcBorders>
              <w:top w:val="nil"/>
              <w:left w:val="nil"/>
              <w:bottom w:val="nil"/>
              <w:right w:val="nil"/>
            </w:tcBorders>
          </w:tcPr>
          <w:p w14:paraId="409F1B8E" w14:textId="77777777" w:rsidR="00E27691" w:rsidRPr="008A14BF" w:rsidRDefault="00372BE1" w:rsidP="00E27691">
            <w:pPr>
              <w:pStyle w:val="DepartmentTitle"/>
              <w:tabs>
                <w:tab w:val="left" w:pos="425"/>
              </w:tabs>
            </w:pPr>
            <w:bookmarkStart w:id="0" w:name="bmTop"/>
            <w:bookmarkEnd w:id="0"/>
            <w:r w:rsidRPr="008A14BF">
              <w:t>Department of Health</w:t>
            </w:r>
            <w:r w:rsidR="00E27691" w:rsidRPr="008A14BF">
              <w:t xml:space="preserve"> </w:t>
            </w:r>
          </w:p>
          <w:p w14:paraId="32F0E556" w14:textId="610E4B01" w:rsidR="00372BE1" w:rsidRPr="00325AAE" w:rsidRDefault="00325AAE" w:rsidP="00064136">
            <w:pPr>
              <w:pStyle w:val="Sub-branch"/>
              <w:tabs>
                <w:tab w:val="left" w:pos="425"/>
              </w:tabs>
              <w:rPr>
                <w:b/>
                <w:bCs/>
              </w:rPr>
            </w:pPr>
            <w:r w:rsidRPr="00325AAE">
              <w:rPr>
                <w:b/>
                <w:bCs/>
                <w:caps w:val="0"/>
                <w:w w:val="100"/>
                <w:sz w:val="28"/>
                <w:szCs w:val="24"/>
              </w:rPr>
              <w:t>PROCEDURE</w:t>
            </w:r>
          </w:p>
        </w:tc>
        <w:tc>
          <w:tcPr>
            <w:tcW w:w="3084" w:type="dxa"/>
            <w:tcBorders>
              <w:top w:val="nil"/>
              <w:left w:val="nil"/>
              <w:bottom w:val="nil"/>
              <w:right w:val="nil"/>
            </w:tcBorders>
          </w:tcPr>
          <w:p w14:paraId="5E9AEA68" w14:textId="77777777" w:rsidR="00372BE1" w:rsidRPr="008A14BF" w:rsidRDefault="00E02C44" w:rsidP="00064136">
            <w:pPr>
              <w:pStyle w:val="Logo"/>
              <w:tabs>
                <w:tab w:val="left" w:pos="425"/>
                <w:tab w:val="left" w:pos="8280"/>
                <w:tab w:val="left" w:pos="9180"/>
              </w:tabs>
              <w:spacing w:after="240"/>
            </w:pPr>
            <w:r>
              <w:rPr>
                <w:noProof/>
                <w:lang w:eastAsia="en-AU"/>
              </w:rPr>
              <w:drawing>
                <wp:inline distT="0" distB="0" distL="0" distR="0" wp14:anchorId="5A967AE1" wp14:editId="59F4E466">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064136" w14:paraId="4EE7F013" w14:textId="77777777" w:rsidTr="00064136">
        <w:tc>
          <w:tcPr>
            <w:tcW w:w="9828" w:type="dxa"/>
            <w:gridSpan w:val="3"/>
            <w:tcBorders>
              <w:top w:val="nil"/>
              <w:left w:val="nil"/>
              <w:bottom w:val="nil"/>
              <w:right w:val="nil"/>
            </w:tcBorders>
          </w:tcPr>
          <w:p w14:paraId="6E6FB7B8" w14:textId="0BFEAD2D" w:rsidR="00372BE1" w:rsidRPr="008A14BF" w:rsidRDefault="00D56213" w:rsidP="00726032">
            <w:pPr>
              <w:pStyle w:val="Heading1"/>
              <w:tabs>
                <w:tab w:val="left" w:pos="425"/>
                <w:tab w:val="left" w:pos="8280"/>
                <w:tab w:val="left" w:pos="9180"/>
              </w:tabs>
              <w:jc w:val="center"/>
            </w:pPr>
            <w:r>
              <w:t>SOP001_ETH Low Risk Human Research Ethics Committee</w:t>
            </w:r>
          </w:p>
        </w:tc>
      </w:tr>
      <w:tr w:rsidR="00D42456" w:rsidRPr="00040B14" w14:paraId="169BFA9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32F1E7D6" w14:textId="2034758B" w:rsidR="00D42456" w:rsidRPr="00040B14" w:rsidRDefault="00394339"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S</w:t>
            </w:r>
            <w:r w:rsidR="00D640A9">
              <w:rPr>
                <w:rStyle w:val="InformationBlockChar"/>
              </w:rPr>
              <w:t>DMS</w:t>
            </w:r>
            <w:r>
              <w:rPr>
                <w:rStyle w:val="InformationBlockChar"/>
              </w:rPr>
              <w:t xml:space="preserve"> Id</w:t>
            </w:r>
            <w:r w:rsidR="00D640A9">
              <w:rPr>
                <w:rStyle w:val="InformationBlockChar"/>
              </w:rPr>
              <w:t xml:space="preserve"> Number</w:t>
            </w:r>
            <w:r w:rsidR="00272CDD">
              <w:rPr>
                <w:rStyle w:val="InformationBlockChar"/>
              </w:rPr>
              <w:t>:</w:t>
            </w:r>
          </w:p>
        </w:tc>
        <w:tc>
          <w:tcPr>
            <w:tcW w:w="7200" w:type="dxa"/>
            <w:gridSpan w:val="2"/>
            <w:tcBorders>
              <w:top w:val="nil"/>
              <w:bottom w:val="nil"/>
            </w:tcBorders>
            <w:shd w:val="clear" w:color="auto" w:fill="auto"/>
            <w:vAlign w:val="center"/>
          </w:tcPr>
          <w:p w14:paraId="0557DBE8" w14:textId="70CB44D5" w:rsidR="00D42456" w:rsidRPr="00064136" w:rsidRDefault="000E03C6" w:rsidP="00064136">
            <w:pPr>
              <w:pStyle w:val="InformationBlockfillin"/>
              <w:tabs>
                <w:tab w:val="left" w:pos="425"/>
                <w:tab w:val="left" w:pos="8280"/>
                <w:tab w:val="left" w:pos="9180"/>
              </w:tabs>
              <w:spacing w:line="300" w:lineRule="exact"/>
              <w:rPr>
                <w:rFonts w:cs="Arial"/>
                <w:iCs/>
                <w:kern w:val="36"/>
                <w:lang w:eastAsia="en-AU"/>
              </w:rPr>
            </w:pPr>
            <w:r>
              <w:t>P23/311</w:t>
            </w:r>
          </w:p>
        </w:tc>
      </w:tr>
      <w:tr w:rsidR="00CC7075" w:rsidRPr="00040B14" w14:paraId="401C2C9E"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78EA6719" w14:textId="77777777" w:rsidR="00CC7075" w:rsidRDefault="00CC7075"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Overarching Policy:</w:t>
            </w:r>
          </w:p>
        </w:tc>
        <w:tc>
          <w:tcPr>
            <w:tcW w:w="7200" w:type="dxa"/>
            <w:gridSpan w:val="2"/>
            <w:tcBorders>
              <w:top w:val="nil"/>
              <w:bottom w:val="nil"/>
            </w:tcBorders>
            <w:shd w:val="clear" w:color="auto" w:fill="auto"/>
            <w:vAlign w:val="center"/>
          </w:tcPr>
          <w:p w14:paraId="538212E8" w14:textId="492EF3E1" w:rsidR="00CC7075" w:rsidRDefault="00E02767" w:rsidP="00CC7075">
            <w:pPr>
              <w:pStyle w:val="InformationBlockfillin"/>
              <w:tabs>
                <w:tab w:val="left" w:pos="425"/>
                <w:tab w:val="left" w:pos="8280"/>
                <w:tab w:val="left" w:pos="9180"/>
              </w:tabs>
              <w:spacing w:line="300" w:lineRule="exact"/>
            </w:pPr>
            <w:r>
              <w:t>Research Governance Policy Framework</w:t>
            </w:r>
            <w:r w:rsidR="000E03C6">
              <w:t xml:space="preserve"> </w:t>
            </w:r>
            <w:r w:rsidR="00B03297">
              <w:t>(P20/299)</w:t>
            </w:r>
            <w:r w:rsidR="000A44FD">
              <w:t xml:space="preserve"> &amp; </w:t>
            </w:r>
            <w:r w:rsidR="008E1C11">
              <w:t xml:space="preserve">                              </w:t>
            </w:r>
            <w:r w:rsidR="000A44FD">
              <w:t>Low Risk Research Procedure (P22/332)</w:t>
            </w:r>
          </w:p>
        </w:tc>
      </w:tr>
      <w:tr w:rsidR="00E827B4" w:rsidRPr="00040B14" w14:paraId="6182085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3E8772D" w14:textId="77777777" w:rsidR="00E827B4" w:rsidRPr="00040B14" w:rsidRDefault="002E41FE"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Effective From</w:t>
            </w:r>
            <w:r w:rsidR="00272CDD">
              <w:rPr>
                <w:rStyle w:val="InformationBlockChar"/>
              </w:rPr>
              <w:t>:</w:t>
            </w:r>
          </w:p>
        </w:tc>
        <w:tc>
          <w:tcPr>
            <w:tcW w:w="7200" w:type="dxa"/>
            <w:gridSpan w:val="2"/>
            <w:tcBorders>
              <w:top w:val="nil"/>
              <w:bottom w:val="nil"/>
            </w:tcBorders>
            <w:shd w:val="clear" w:color="auto" w:fill="auto"/>
            <w:vAlign w:val="center"/>
          </w:tcPr>
          <w:p w14:paraId="5830C1A7" w14:textId="430E60E1" w:rsidR="00E827B4" w:rsidRPr="00064136" w:rsidRDefault="0050390C" w:rsidP="00064136">
            <w:pPr>
              <w:pStyle w:val="InformationBlockfillin"/>
              <w:tabs>
                <w:tab w:val="left" w:pos="425"/>
                <w:tab w:val="left" w:pos="8280"/>
                <w:tab w:val="left" w:pos="9180"/>
              </w:tabs>
              <w:spacing w:line="300" w:lineRule="exact"/>
              <w:rPr>
                <w:rFonts w:cs="Arial"/>
                <w:iCs/>
                <w:kern w:val="36"/>
                <w:lang w:eastAsia="en-AU"/>
              </w:rPr>
            </w:pPr>
            <w:r>
              <w:rPr>
                <w:rFonts w:cs="Arial"/>
                <w:iCs/>
                <w:kern w:val="36"/>
                <w:lang w:eastAsia="en-AU"/>
              </w:rPr>
              <w:t>November</w:t>
            </w:r>
            <w:r w:rsidR="00CD4BE1">
              <w:rPr>
                <w:rFonts w:cs="Arial"/>
                <w:iCs/>
                <w:kern w:val="36"/>
                <w:lang w:eastAsia="en-AU"/>
              </w:rPr>
              <w:t xml:space="preserve"> 2023</w:t>
            </w:r>
          </w:p>
        </w:tc>
      </w:tr>
      <w:tr w:rsidR="00272CDD" w:rsidRPr="00064136" w14:paraId="34242C8B"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54880325"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040B14">
              <w:rPr>
                <w:rStyle w:val="InformationBlockChar"/>
              </w:rPr>
              <w:t>Replaces</w:t>
            </w:r>
            <w:r>
              <w:rPr>
                <w:rStyle w:val="InformationBlockChar"/>
              </w:rPr>
              <w:t xml:space="preserve"> Doc. No:</w:t>
            </w:r>
          </w:p>
        </w:tc>
        <w:tc>
          <w:tcPr>
            <w:tcW w:w="7200" w:type="dxa"/>
            <w:gridSpan w:val="2"/>
            <w:tcBorders>
              <w:top w:val="nil"/>
              <w:bottom w:val="nil"/>
            </w:tcBorders>
            <w:shd w:val="clear" w:color="auto" w:fill="auto"/>
            <w:vAlign w:val="center"/>
          </w:tcPr>
          <w:p w14:paraId="00ED8C18" w14:textId="00BF6BB6" w:rsidR="00272CDD" w:rsidRPr="00064136" w:rsidRDefault="00E02767" w:rsidP="00272CDD">
            <w:pPr>
              <w:pStyle w:val="InformationBlockfillin"/>
              <w:tabs>
                <w:tab w:val="left" w:pos="425"/>
                <w:tab w:val="left" w:pos="8280"/>
                <w:tab w:val="left" w:pos="9180"/>
              </w:tabs>
              <w:spacing w:line="300" w:lineRule="exact"/>
              <w:rPr>
                <w:rFonts w:cs="Arial"/>
                <w:iCs/>
                <w:kern w:val="36"/>
                <w:lang w:eastAsia="en-AU"/>
              </w:rPr>
            </w:pPr>
            <w:r>
              <w:t>NA</w:t>
            </w:r>
          </w:p>
        </w:tc>
      </w:tr>
      <w:tr w:rsidR="00272CDD" w:rsidRPr="00040B14" w14:paraId="54827C99"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6ACD9055"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Custodian and Review Responsibility:</w:t>
            </w:r>
          </w:p>
        </w:tc>
        <w:tc>
          <w:tcPr>
            <w:tcW w:w="7200" w:type="dxa"/>
            <w:gridSpan w:val="2"/>
            <w:tcBorders>
              <w:top w:val="nil"/>
              <w:bottom w:val="nil"/>
            </w:tcBorders>
            <w:shd w:val="clear" w:color="auto" w:fill="auto"/>
            <w:vAlign w:val="center"/>
          </w:tcPr>
          <w:p w14:paraId="6B270F4A" w14:textId="1B4D9540" w:rsidR="00272CDD" w:rsidRPr="00064136" w:rsidRDefault="00E02767" w:rsidP="00272CDD">
            <w:pPr>
              <w:pStyle w:val="InformationBlockfillin"/>
              <w:tabs>
                <w:tab w:val="left" w:pos="425"/>
                <w:tab w:val="left" w:pos="8280"/>
                <w:tab w:val="left" w:pos="9180"/>
              </w:tabs>
              <w:spacing w:line="300" w:lineRule="exact"/>
              <w:rPr>
                <w:rFonts w:cs="Arial"/>
                <w:iCs/>
                <w:kern w:val="36"/>
                <w:lang w:eastAsia="en-AU"/>
              </w:rPr>
            </w:pPr>
            <w:r>
              <w:t>Clinical Quality Regulation and Accreditation (CQRA)</w:t>
            </w:r>
          </w:p>
        </w:tc>
      </w:tr>
      <w:tr w:rsidR="00272CDD" w:rsidRPr="00064136" w14:paraId="6D5B236C"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2CF2D705"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Contact:</w:t>
            </w:r>
          </w:p>
        </w:tc>
        <w:tc>
          <w:tcPr>
            <w:tcW w:w="7200" w:type="dxa"/>
            <w:gridSpan w:val="2"/>
            <w:tcBorders>
              <w:top w:val="nil"/>
              <w:bottom w:val="nil"/>
            </w:tcBorders>
            <w:shd w:val="clear" w:color="auto" w:fill="auto"/>
            <w:vAlign w:val="center"/>
          </w:tcPr>
          <w:p w14:paraId="7B2FA1B2" w14:textId="4482B493" w:rsidR="00272CDD" w:rsidRPr="00064136" w:rsidRDefault="000B29D1"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CustodianName  \* MERGEFORMAT </w:instrText>
            </w:r>
            <w:r>
              <w:rPr>
                <w:rFonts w:cs="Arial"/>
                <w:iCs/>
                <w:kern w:val="36"/>
                <w:lang w:eastAsia="en-AU"/>
              </w:rPr>
              <w:fldChar w:fldCharType="end"/>
            </w:r>
            <w:r w:rsidR="00E02767">
              <w:t>Research Ethics Officer, Dr Barbara Kameniar</w:t>
            </w:r>
          </w:p>
        </w:tc>
      </w:tr>
      <w:tr w:rsidR="00272CDD" w:rsidRPr="00040B14" w14:paraId="6E4AD542"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C6AC684"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Applies to:</w:t>
            </w:r>
          </w:p>
        </w:tc>
        <w:tc>
          <w:tcPr>
            <w:tcW w:w="7200" w:type="dxa"/>
            <w:gridSpan w:val="2"/>
            <w:tcBorders>
              <w:top w:val="nil"/>
              <w:bottom w:val="nil"/>
            </w:tcBorders>
            <w:shd w:val="clear" w:color="auto" w:fill="auto"/>
            <w:vAlign w:val="center"/>
          </w:tcPr>
          <w:p w14:paraId="074E9F88" w14:textId="77777777" w:rsidR="00272CDD" w:rsidRPr="00064136" w:rsidRDefault="00813F21"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AppliesTo  \* MERGEFORMAT </w:instrText>
            </w:r>
            <w:r>
              <w:fldChar w:fldCharType="separate"/>
            </w:r>
            <w:r w:rsidR="000163D7" w:rsidRPr="000163D7">
              <w:rPr>
                <w:rFonts w:cs="Arial"/>
                <w:iCs/>
                <w:kern w:val="36"/>
                <w:lang w:eastAsia="en-AU"/>
              </w:rPr>
              <w:t>All Staff</w:t>
            </w:r>
            <w:r>
              <w:rPr>
                <w:rFonts w:cs="Arial"/>
                <w:iCs/>
                <w:kern w:val="36"/>
                <w:lang w:eastAsia="en-AU"/>
              </w:rPr>
              <w:fldChar w:fldCharType="end"/>
            </w:r>
          </w:p>
        </w:tc>
      </w:tr>
      <w:tr w:rsidR="003B40A8" w:rsidRPr="00040B14" w14:paraId="0A25EBCB"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47E42F4D"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Review Date:</w:t>
            </w:r>
          </w:p>
        </w:tc>
        <w:tc>
          <w:tcPr>
            <w:tcW w:w="7200" w:type="dxa"/>
            <w:gridSpan w:val="2"/>
            <w:tcBorders>
              <w:top w:val="nil"/>
              <w:bottom w:val="nil"/>
            </w:tcBorders>
            <w:shd w:val="clear" w:color="auto" w:fill="auto"/>
            <w:vAlign w:val="center"/>
          </w:tcPr>
          <w:p w14:paraId="17F76D39" w14:textId="00F3A9E4" w:rsidR="003B40A8" w:rsidRPr="00064136" w:rsidRDefault="0050390C" w:rsidP="003B40A8">
            <w:pPr>
              <w:pStyle w:val="InformationBlockfillin"/>
              <w:tabs>
                <w:tab w:val="left" w:pos="425"/>
                <w:tab w:val="left" w:pos="8280"/>
                <w:tab w:val="left" w:pos="9180"/>
              </w:tabs>
              <w:spacing w:line="300" w:lineRule="exact"/>
              <w:rPr>
                <w:rFonts w:cs="Arial"/>
                <w:iCs/>
                <w:kern w:val="36"/>
                <w:lang w:eastAsia="en-AU"/>
              </w:rPr>
            </w:pPr>
            <w:r>
              <w:rPr>
                <w:rFonts w:cs="Arial"/>
                <w:iCs/>
                <w:kern w:val="36"/>
                <w:lang w:eastAsia="en-AU"/>
              </w:rPr>
              <w:t>November</w:t>
            </w:r>
            <w:r w:rsidR="00CA1F2C">
              <w:rPr>
                <w:rFonts w:cs="Arial"/>
                <w:iCs/>
                <w:kern w:val="36"/>
                <w:lang w:eastAsia="en-AU"/>
              </w:rPr>
              <w:t xml:space="preserve"> 202</w:t>
            </w:r>
            <w:r w:rsidR="000E03C6">
              <w:rPr>
                <w:rFonts w:cs="Arial"/>
                <w:iCs/>
                <w:kern w:val="36"/>
                <w:lang w:eastAsia="en-AU"/>
              </w:rPr>
              <w:t>6</w:t>
            </w:r>
          </w:p>
        </w:tc>
      </w:tr>
      <w:tr w:rsidR="003B40A8" w:rsidRPr="00040B14" w14:paraId="33BE4F48"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6BD3742E"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Key Words:</w:t>
            </w:r>
          </w:p>
        </w:tc>
        <w:tc>
          <w:tcPr>
            <w:tcW w:w="7200" w:type="dxa"/>
            <w:gridSpan w:val="2"/>
            <w:tcBorders>
              <w:top w:val="nil"/>
              <w:bottom w:val="nil"/>
            </w:tcBorders>
            <w:shd w:val="clear" w:color="auto" w:fill="auto"/>
            <w:vAlign w:val="center"/>
          </w:tcPr>
          <w:p w14:paraId="2A1CF3B6" w14:textId="0E81E670" w:rsidR="003B40A8" w:rsidRPr="00064136" w:rsidRDefault="00813F21" w:rsidP="003B40A8">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Summary  \* MERGEFORMAT </w:instrText>
            </w:r>
            <w:r>
              <w:fldChar w:fldCharType="separate"/>
            </w:r>
            <w:r w:rsidR="000163D7" w:rsidRPr="000163D7">
              <w:rPr>
                <w:rFonts w:cs="Arial"/>
                <w:iCs/>
                <w:kern w:val="36"/>
                <w:lang w:eastAsia="en-AU"/>
              </w:rPr>
              <w:t xml:space="preserve">Ethics, </w:t>
            </w:r>
            <w:r w:rsidR="00E02767">
              <w:rPr>
                <w:rFonts w:cs="Arial"/>
                <w:iCs/>
                <w:kern w:val="36"/>
                <w:lang w:eastAsia="en-AU"/>
              </w:rPr>
              <w:t>Low Risk,</w:t>
            </w:r>
            <w:r w:rsidR="000163D7" w:rsidRPr="000163D7">
              <w:rPr>
                <w:rFonts w:cs="Arial"/>
                <w:iCs/>
                <w:kern w:val="36"/>
                <w:lang w:eastAsia="en-AU"/>
              </w:rPr>
              <w:t xml:space="preserve"> LRR Ethics </w:t>
            </w:r>
            <w:r w:rsidR="00E02767">
              <w:rPr>
                <w:rFonts w:cs="Arial"/>
                <w:iCs/>
                <w:kern w:val="36"/>
                <w:lang w:eastAsia="en-AU"/>
              </w:rPr>
              <w:t>C</w:t>
            </w:r>
            <w:r w:rsidR="000163D7" w:rsidRPr="000163D7">
              <w:rPr>
                <w:rFonts w:cs="Arial"/>
                <w:iCs/>
                <w:kern w:val="36"/>
                <w:lang w:eastAsia="en-AU"/>
              </w:rPr>
              <w:t>ommittee</w:t>
            </w:r>
            <w:r>
              <w:rPr>
                <w:rFonts w:cs="Arial"/>
                <w:iCs/>
                <w:kern w:val="36"/>
                <w:lang w:eastAsia="en-AU"/>
              </w:rPr>
              <w:fldChar w:fldCharType="end"/>
            </w:r>
            <w:r w:rsidR="00E02767">
              <w:rPr>
                <w:rFonts w:cs="Arial"/>
                <w:iCs/>
                <w:kern w:val="36"/>
                <w:lang w:eastAsia="en-AU"/>
              </w:rPr>
              <w:t xml:space="preserve">, Quality Assurance, Quality Improvement, Audit, Governance </w:t>
            </w:r>
          </w:p>
        </w:tc>
      </w:tr>
      <w:tr w:rsidR="003B40A8" w:rsidRPr="00040B14" w14:paraId="5F10A64F"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6F43F8B" w14:textId="77777777" w:rsidR="003B40A8" w:rsidRDefault="003B40A8"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Routine Disclosure:</w:t>
            </w:r>
          </w:p>
        </w:tc>
        <w:tc>
          <w:tcPr>
            <w:tcW w:w="7200" w:type="dxa"/>
            <w:gridSpan w:val="2"/>
            <w:tcBorders>
              <w:top w:val="nil"/>
              <w:bottom w:val="single" w:sz="4" w:space="0" w:color="auto"/>
            </w:tcBorders>
            <w:shd w:val="clear" w:color="auto" w:fill="auto"/>
            <w:vAlign w:val="center"/>
          </w:tcPr>
          <w:p w14:paraId="03368ECB" w14:textId="77777777" w:rsidR="00731546" w:rsidRDefault="000163D7" w:rsidP="001F72EF">
            <w:pPr>
              <w:pStyle w:val="InformationBlockfillin"/>
              <w:tabs>
                <w:tab w:val="left" w:pos="425"/>
                <w:tab w:val="left" w:pos="8280"/>
                <w:tab w:val="left" w:pos="9180"/>
              </w:tabs>
              <w:spacing w:line="300" w:lineRule="exact"/>
            </w:pPr>
            <w:bookmarkStart w:id="1" w:name="bmRoutineDisclosure"/>
            <w:bookmarkEnd w:id="1"/>
            <w:r>
              <w:t>Yes</w:t>
            </w:r>
          </w:p>
        </w:tc>
      </w:tr>
    </w:tbl>
    <w:p w14:paraId="1CC9171F" w14:textId="77777777" w:rsidR="00741AA8" w:rsidRDefault="00741AA8" w:rsidP="00741AA8">
      <w:pPr>
        <w:pStyle w:val="Instructions"/>
        <w:shd w:val="clear" w:color="auto" w:fill="auto"/>
        <w:spacing w:after="40"/>
        <w:rPr>
          <w:b/>
        </w:rPr>
      </w:pPr>
    </w:p>
    <w:p w14:paraId="6988B263" w14:textId="77777777" w:rsidR="00731546" w:rsidRPr="00731546" w:rsidRDefault="00731546" w:rsidP="00731546">
      <w:pPr>
        <w:rPr>
          <w:b/>
          <w:lang w:eastAsia="en-AU"/>
        </w:rPr>
      </w:pPr>
      <w:r w:rsidRPr="00731546">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14:paraId="61F482CB"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3C306DA9" w14:textId="77777777" w:rsidR="00AE5A73" w:rsidRDefault="00AE5A73" w:rsidP="005F5106">
            <w:pPr>
              <w:pStyle w:val="ClearedByText"/>
            </w:pPr>
            <w:r>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28EBC33D" w14:textId="77777777" w:rsidR="00AE5A73" w:rsidRDefault="00813F21" w:rsidP="005F5106">
            <w:pPr>
              <w:pStyle w:val="ClearedByText"/>
            </w:pPr>
            <w:r>
              <w:fldChar w:fldCharType="begin"/>
            </w:r>
            <w:r>
              <w:instrText xml:space="preserve"> DOCPROPERTY  PreparedBy  \* MERGEFORMAT </w:instrText>
            </w:r>
            <w:r>
              <w:fldChar w:fldCharType="separate"/>
            </w:r>
            <w:r w:rsidR="000163D7">
              <w:t>Dr Barbara Kameniar</w:t>
            </w:r>
            <w:r>
              <w:fldChar w:fldCharType="end"/>
            </w:r>
          </w:p>
        </w:tc>
        <w:tc>
          <w:tcPr>
            <w:tcW w:w="1411" w:type="pct"/>
            <w:tcBorders>
              <w:top w:val="single" w:sz="4" w:space="0" w:color="auto"/>
              <w:left w:val="single" w:sz="4" w:space="0" w:color="auto"/>
              <w:bottom w:val="single" w:sz="4" w:space="0" w:color="auto"/>
              <w:right w:val="single" w:sz="4" w:space="0" w:color="auto"/>
            </w:tcBorders>
            <w:vAlign w:val="center"/>
          </w:tcPr>
          <w:p w14:paraId="77ADC2A4" w14:textId="77777777" w:rsidR="00AE5A73" w:rsidRDefault="00813F21" w:rsidP="005F5106">
            <w:pPr>
              <w:pStyle w:val="ClearedByText"/>
            </w:pPr>
            <w:r>
              <w:fldChar w:fldCharType="begin"/>
            </w:r>
            <w:r>
              <w:instrText xml:space="preserve"> DOCPROPERTY  PreparedPositionTitle  \* MERGEFORMAT </w:instrText>
            </w:r>
            <w:r>
              <w:fldChar w:fldCharType="separate"/>
            </w:r>
            <w:r w:rsidR="000163D7">
              <w:t>Research Ethics Officer</w:t>
            </w:r>
            <w: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6010F25B" w14:textId="77777777" w:rsidR="00AE5A73" w:rsidRDefault="00813F21" w:rsidP="005F5106">
            <w:pPr>
              <w:pStyle w:val="ClearedByText"/>
              <w:jc w:val="both"/>
            </w:pPr>
            <w:r>
              <w:fldChar w:fldCharType="begin"/>
            </w:r>
            <w:r>
              <w:instrText xml:space="preserve"> DOCPROPERTY  PreparedPhone  \* MERGEFORMAT </w:instrText>
            </w:r>
            <w:r>
              <w:fldChar w:fldCharType="separate"/>
            </w:r>
            <w:r w:rsidR="000163D7">
              <w:t>61654004</w:t>
            </w:r>
            <w:r>
              <w:fldChar w:fldCharType="end"/>
            </w:r>
          </w:p>
        </w:tc>
        <w:tc>
          <w:tcPr>
            <w:tcW w:w="1088" w:type="pct"/>
            <w:tcBorders>
              <w:top w:val="single" w:sz="4" w:space="0" w:color="auto"/>
              <w:left w:val="single" w:sz="4" w:space="0" w:color="auto"/>
              <w:bottom w:val="single" w:sz="4" w:space="0" w:color="auto"/>
              <w:right w:val="single" w:sz="4" w:space="0" w:color="auto"/>
            </w:tcBorders>
            <w:vAlign w:val="center"/>
          </w:tcPr>
          <w:p w14:paraId="052E72BD" w14:textId="77777777" w:rsidR="00AE5A73" w:rsidRDefault="00813F21" w:rsidP="005F5106">
            <w:pPr>
              <w:pStyle w:val="ClearedByText"/>
            </w:pPr>
            <w:r>
              <w:fldChar w:fldCharType="begin"/>
            </w:r>
            <w:r>
              <w:instrText xml:space="preserve"> DOCPROPERTY  PreparedDate  \* MERGEFORMAT </w:instrText>
            </w:r>
            <w:r>
              <w:fldChar w:fldCharType="separate"/>
            </w:r>
            <w:r w:rsidR="000163D7">
              <w:t>3 August 2023</w:t>
            </w:r>
            <w:r>
              <w:fldChar w:fldCharType="end"/>
            </w:r>
          </w:p>
        </w:tc>
      </w:tr>
      <w:tr w:rsidR="00AE5A73" w14:paraId="3BCAB245" w14:textId="77777777" w:rsidTr="005F5106">
        <w:trPr>
          <w:cantSplit/>
          <w:trHeight w:val="442"/>
        </w:trPr>
        <w:tc>
          <w:tcPr>
            <w:tcW w:w="715" w:type="pct"/>
            <w:tcBorders>
              <w:top w:val="single" w:sz="4" w:space="0" w:color="auto"/>
            </w:tcBorders>
            <w:vAlign w:val="center"/>
          </w:tcPr>
          <w:p w14:paraId="7C4A802E" w14:textId="77777777" w:rsidR="00AE5A73" w:rsidRDefault="00AE5A73" w:rsidP="005F5106">
            <w:pPr>
              <w:pStyle w:val="ClearedByText"/>
            </w:pPr>
            <w:r>
              <w:t>Through</w:t>
            </w:r>
          </w:p>
        </w:tc>
        <w:tc>
          <w:tcPr>
            <w:tcW w:w="1128" w:type="pct"/>
            <w:tcBorders>
              <w:top w:val="single" w:sz="4" w:space="0" w:color="auto"/>
            </w:tcBorders>
            <w:vAlign w:val="center"/>
          </w:tcPr>
          <w:p w14:paraId="51246E21" w14:textId="2B78822B" w:rsidR="00AE5A73" w:rsidRDefault="00187707" w:rsidP="005F5106">
            <w:pPr>
              <w:pStyle w:val="ClearedByText"/>
            </w:pPr>
            <w:r>
              <w:t>Dr Raisa Cassim</w:t>
            </w:r>
            <w:r w:rsidR="000B29D1">
              <w:fldChar w:fldCharType="begin"/>
            </w:r>
            <w:r w:rsidR="000B29D1">
              <w:instrText xml:space="preserve"> DOCPROPERTY  Through  \* MERGEFORMAT </w:instrText>
            </w:r>
            <w:r w:rsidR="000B29D1">
              <w:fldChar w:fldCharType="end"/>
            </w:r>
          </w:p>
        </w:tc>
        <w:tc>
          <w:tcPr>
            <w:tcW w:w="1411" w:type="pct"/>
            <w:tcBorders>
              <w:top w:val="single" w:sz="4" w:space="0" w:color="auto"/>
            </w:tcBorders>
            <w:vAlign w:val="center"/>
          </w:tcPr>
          <w:p w14:paraId="7DA1C6EB" w14:textId="79FCE4D1" w:rsidR="00AE5A73" w:rsidRDefault="000B29D1" w:rsidP="005F5106">
            <w:pPr>
              <w:pStyle w:val="ClearedByText"/>
            </w:pPr>
            <w:r>
              <w:fldChar w:fldCharType="begin"/>
            </w:r>
            <w:r>
              <w:instrText xml:space="preserve"> DOCPROPERTY  ThroughPositionTitle  \* MERGEFORMAT </w:instrText>
            </w:r>
            <w:r>
              <w:fldChar w:fldCharType="end"/>
            </w:r>
            <w:r w:rsidR="00392713">
              <w:t>Research Governance Coordinator</w:t>
            </w:r>
          </w:p>
        </w:tc>
        <w:tc>
          <w:tcPr>
            <w:tcW w:w="658" w:type="pct"/>
            <w:tcBorders>
              <w:top w:val="single" w:sz="4" w:space="0" w:color="auto"/>
            </w:tcBorders>
            <w:vAlign w:val="center"/>
          </w:tcPr>
          <w:p w14:paraId="42592AE5" w14:textId="77777777" w:rsidR="00AE5A73" w:rsidRDefault="000B29D1" w:rsidP="005F5106">
            <w:pPr>
              <w:pStyle w:val="ClearedByText"/>
            </w:pPr>
            <w:r>
              <w:fldChar w:fldCharType="begin"/>
            </w:r>
            <w:r>
              <w:instrText xml:space="preserve"> DOCPROPERTY  ThroughPhone  \* MERGEFORMAT </w:instrText>
            </w:r>
            <w:r>
              <w:fldChar w:fldCharType="end"/>
            </w:r>
          </w:p>
        </w:tc>
        <w:tc>
          <w:tcPr>
            <w:tcW w:w="1088" w:type="pct"/>
            <w:tcBorders>
              <w:top w:val="single" w:sz="4" w:space="0" w:color="auto"/>
            </w:tcBorders>
            <w:vAlign w:val="center"/>
          </w:tcPr>
          <w:p w14:paraId="71CF610A" w14:textId="008FF151" w:rsidR="00AE5A73" w:rsidRDefault="00F14DAE" w:rsidP="005F5106">
            <w:pPr>
              <w:pStyle w:val="ClearedByText"/>
            </w:pPr>
            <w:r>
              <w:t>August 2023</w:t>
            </w:r>
            <w:r w:rsidR="000B29D1">
              <w:fldChar w:fldCharType="begin"/>
            </w:r>
            <w:r w:rsidR="000B29D1">
              <w:instrText xml:space="preserve"> DOCPROPERTY  ThroughDate  \* MERGEFORMAT </w:instrText>
            </w:r>
            <w:r w:rsidR="000B29D1">
              <w:fldChar w:fldCharType="end"/>
            </w:r>
          </w:p>
        </w:tc>
      </w:tr>
      <w:tr w:rsidR="00AE5A73" w14:paraId="259A0941" w14:textId="77777777" w:rsidTr="005F5106">
        <w:trPr>
          <w:cantSplit/>
          <w:trHeight w:val="442"/>
        </w:trPr>
        <w:tc>
          <w:tcPr>
            <w:tcW w:w="715" w:type="pct"/>
            <w:tcBorders>
              <w:top w:val="single" w:sz="4" w:space="0" w:color="auto"/>
            </w:tcBorders>
            <w:vAlign w:val="center"/>
          </w:tcPr>
          <w:p w14:paraId="6A25E1CC" w14:textId="77777777" w:rsidR="00AE5A73" w:rsidRDefault="00AE5A73" w:rsidP="005F5106">
            <w:pPr>
              <w:pStyle w:val="ClearedByText"/>
            </w:pPr>
            <w:r>
              <w:t>Through</w:t>
            </w:r>
          </w:p>
        </w:tc>
        <w:tc>
          <w:tcPr>
            <w:tcW w:w="1128" w:type="pct"/>
            <w:tcBorders>
              <w:top w:val="single" w:sz="4" w:space="0" w:color="auto"/>
            </w:tcBorders>
            <w:vAlign w:val="center"/>
          </w:tcPr>
          <w:p w14:paraId="4A543C0E" w14:textId="650DD17E" w:rsidR="00AE5A73" w:rsidRDefault="001A47DA" w:rsidP="005F5106">
            <w:pPr>
              <w:pStyle w:val="ClearedByText"/>
            </w:pPr>
            <w:proofErr w:type="spellStart"/>
            <w:r>
              <w:t>RISc</w:t>
            </w:r>
            <w:proofErr w:type="spellEnd"/>
            <w:r w:rsidR="000B29D1">
              <w:fldChar w:fldCharType="begin"/>
            </w:r>
            <w:r w:rsidR="000B29D1">
              <w:instrText xml:space="preserve"> DOCPROPERTY  Through2  \* MERGEFORMAT </w:instrText>
            </w:r>
            <w:r w:rsidR="000B29D1">
              <w:fldChar w:fldCharType="end"/>
            </w:r>
          </w:p>
        </w:tc>
        <w:tc>
          <w:tcPr>
            <w:tcW w:w="1411" w:type="pct"/>
            <w:tcBorders>
              <w:top w:val="single" w:sz="4" w:space="0" w:color="auto"/>
            </w:tcBorders>
            <w:vAlign w:val="center"/>
          </w:tcPr>
          <w:p w14:paraId="1C90C2F9" w14:textId="10AEC076" w:rsidR="00AE5A73" w:rsidRDefault="001A47DA" w:rsidP="005F5106">
            <w:pPr>
              <w:pStyle w:val="ClearedByText"/>
            </w:pPr>
            <w:r>
              <w:t xml:space="preserve">Research Innovation Subcommittee </w:t>
            </w:r>
            <w:r w:rsidR="000B29D1">
              <w:fldChar w:fldCharType="begin"/>
            </w:r>
            <w:r w:rsidR="000B29D1">
              <w:instrText xml:space="preserve"> DOCPROPERTY  Through2PositionTitle  \* MERGEFORMAT </w:instrText>
            </w:r>
            <w:r w:rsidR="000B29D1">
              <w:fldChar w:fldCharType="end"/>
            </w:r>
          </w:p>
        </w:tc>
        <w:tc>
          <w:tcPr>
            <w:tcW w:w="658" w:type="pct"/>
            <w:tcBorders>
              <w:top w:val="single" w:sz="4" w:space="0" w:color="auto"/>
            </w:tcBorders>
            <w:vAlign w:val="center"/>
          </w:tcPr>
          <w:p w14:paraId="789494C8" w14:textId="77777777" w:rsidR="00AE5A73" w:rsidRDefault="000B29D1" w:rsidP="005F5106">
            <w:pPr>
              <w:pStyle w:val="ClearedByText"/>
            </w:pPr>
            <w:r>
              <w:fldChar w:fldCharType="begin"/>
            </w:r>
            <w:r>
              <w:instrText xml:space="preserve"> DOCPROPERTY  Through2Phone  \* MERGEFORMAT </w:instrText>
            </w:r>
            <w:r>
              <w:fldChar w:fldCharType="end"/>
            </w:r>
          </w:p>
        </w:tc>
        <w:tc>
          <w:tcPr>
            <w:tcW w:w="1088" w:type="pct"/>
            <w:tcBorders>
              <w:top w:val="single" w:sz="4" w:space="0" w:color="auto"/>
            </w:tcBorders>
            <w:vAlign w:val="center"/>
          </w:tcPr>
          <w:p w14:paraId="771CC40C" w14:textId="5A27B4A0" w:rsidR="00AE5A73" w:rsidRDefault="000B29D1" w:rsidP="005F5106">
            <w:pPr>
              <w:pStyle w:val="ClearedByText"/>
            </w:pPr>
            <w:r>
              <w:fldChar w:fldCharType="begin"/>
            </w:r>
            <w:r>
              <w:instrText xml:space="preserve"> DOCPROPERTY  Through2Date  \* MERGEFORMAT </w:instrText>
            </w:r>
            <w:r>
              <w:fldChar w:fldCharType="end"/>
            </w:r>
            <w:r w:rsidR="00F14DAE">
              <w:t>September 2023</w:t>
            </w:r>
          </w:p>
        </w:tc>
      </w:tr>
      <w:tr w:rsidR="00DD4129" w14:paraId="10EF6B22" w14:textId="77777777" w:rsidTr="005F5106">
        <w:trPr>
          <w:cantSplit/>
          <w:trHeight w:val="442"/>
        </w:trPr>
        <w:tc>
          <w:tcPr>
            <w:tcW w:w="715" w:type="pct"/>
            <w:vAlign w:val="center"/>
          </w:tcPr>
          <w:p w14:paraId="2161D70F" w14:textId="77777777" w:rsidR="00DD4129" w:rsidRDefault="00DD4129" w:rsidP="00DD4129">
            <w:pPr>
              <w:pStyle w:val="ClearedByText"/>
            </w:pPr>
            <w:r>
              <w:t>Cleared by</w:t>
            </w:r>
          </w:p>
        </w:tc>
        <w:tc>
          <w:tcPr>
            <w:tcW w:w="1128" w:type="pct"/>
            <w:vAlign w:val="center"/>
          </w:tcPr>
          <w:p w14:paraId="41842920" w14:textId="04A4002E" w:rsidR="00DD4129" w:rsidRDefault="00DD4129" w:rsidP="00DD4129">
            <w:pPr>
              <w:pStyle w:val="ClearedByText"/>
            </w:pPr>
            <w:r>
              <w:t xml:space="preserve">Dr Allison </w:t>
            </w:r>
            <w:proofErr w:type="spellStart"/>
            <w:r>
              <w:t>Turnock</w:t>
            </w:r>
            <w:proofErr w:type="spellEnd"/>
            <w:r>
              <w:fldChar w:fldCharType="begin"/>
            </w:r>
            <w:r>
              <w:instrText xml:space="preserve"> DOCPROPERTY  ClearedBy  \* MERGEFORMAT </w:instrText>
            </w:r>
            <w:r>
              <w:fldChar w:fldCharType="end"/>
            </w:r>
          </w:p>
        </w:tc>
        <w:tc>
          <w:tcPr>
            <w:tcW w:w="1411" w:type="pct"/>
            <w:vAlign w:val="center"/>
          </w:tcPr>
          <w:p w14:paraId="062A7FD4" w14:textId="13832FBB" w:rsidR="00DD4129" w:rsidRDefault="00DD4129" w:rsidP="00DD4129">
            <w:pPr>
              <w:pStyle w:val="ClearedByText"/>
            </w:pPr>
            <w:r>
              <w:fldChar w:fldCharType="begin"/>
            </w:r>
            <w:r>
              <w:instrText xml:space="preserve"> DOCPROPERTY  ClearedPositionTitle  \* MERGEFORMAT </w:instrText>
            </w:r>
            <w:r>
              <w:fldChar w:fldCharType="end"/>
            </w:r>
            <w:r>
              <w:t>Deputy Chief Medical Officer</w:t>
            </w:r>
          </w:p>
        </w:tc>
        <w:tc>
          <w:tcPr>
            <w:tcW w:w="658" w:type="pct"/>
            <w:vAlign w:val="center"/>
          </w:tcPr>
          <w:p w14:paraId="27769B45" w14:textId="44244662" w:rsidR="00DD4129" w:rsidRDefault="00DD4129" w:rsidP="00DD4129">
            <w:pPr>
              <w:pStyle w:val="ClearedByText"/>
            </w:pPr>
            <w:r>
              <w:fldChar w:fldCharType="begin"/>
            </w:r>
            <w:r>
              <w:instrText xml:space="preserve"> DOCPROPERTY  ClearedPhone  \* MERGEFORMAT </w:instrText>
            </w:r>
            <w:r>
              <w:fldChar w:fldCharType="end"/>
            </w:r>
          </w:p>
        </w:tc>
        <w:tc>
          <w:tcPr>
            <w:tcW w:w="1088" w:type="pct"/>
            <w:vAlign w:val="center"/>
          </w:tcPr>
          <w:p w14:paraId="0C2F62D6" w14:textId="0A0E1936" w:rsidR="00DD4129" w:rsidRDefault="00DD4129" w:rsidP="00DD4129">
            <w:pPr>
              <w:pStyle w:val="ClearedByText"/>
            </w:pPr>
            <w:r>
              <w:fldChar w:fldCharType="begin"/>
            </w:r>
            <w:r>
              <w:instrText xml:space="preserve"> DOCPROPERTY  ClearedDate  \* MERGEFORMAT </w:instrText>
            </w:r>
            <w:r>
              <w:fldChar w:fldCharType="end"/>
            </w:r>
            <w:r>
              <w:t>September 2023</w:t>
            </w:r>
          </w:p>
        </w:tc>
      </w:tr>
    </w:tbl>
    <w:p w14:paraId="4BEDC474" w14:textId="77777777" w:rsidR="00741AA8" w:rsidRDefault="00741AA8" w:rsidP="00741AA8">
      <w:pPr>
        <w:pStyle w:val="Instructions"/>
        <w:shd w:val="clear" w:color="auto" w:fill="auto"/>
        <w:spacing w:after="40"/>
        <w:rPr>
          <w:b/>
        </w:rPr>
      </w:pPr>
    </w:p>
    <w:p w14:paraId="7B966C74" w14:textId="77777777" w:rsidR="00731546" w:rsidRPr="00731546" w:rsidRDefault="00731546" w:rsidP="00731546">
      <w:pPr>
        <w:rPr>
          <w:b/>
          <w:lang w:eastAsia="en-AU"/>
        </w:rPr>
      </w:pPr>
      <w:r w:rsidRPr="00731546">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080"/>
        <w:gridCol w:w="3537"/>
        <w:gridCol w:w="2688"/>
      </w:tblGrid>
      <w:tr w:rsidR="00760D6D" w:rsidRPr="00731546" w14:paraId="51FDFBFA" w14:textId="3B329D6F" w:rsidTr="00760D6D">
        <w:trPr>
          <w:cantSplit/>
          <w:trHeight w:val="442"/>
        </w:trPr>
        <w:tc>
          <w:tcPr>
            <w:tcW w:w="687" w:type="pct"/>
            <w:tcBorders>
              <w:top w:val="single" w:sz="4" w:space="0" w:color="auto"/>
              <w:left w:val="single" w:sz="4" w:space="0" w:color="auto"/>
              <w:bottom w:val="single" w:sz="4" w:space="0" w:color="auto"/>
              <w:right w:val="single" w:sz="4" w:space="0" w:color="auto"/>
            </w:tcBorders>
            <w:vAlign w:val="center"/>
          </w:tcPr>
          <w:p w14:paraId="54CBA7EF" w14:textId="77777777" w:rsidR="00760D6D" w:rsidRPr="00731546" w:rsidRDefault="00760D6D" w:rsidP="00127853">
            <w:pPr>
              <w:pStyle w:val="ClearedByText"/>
              <w:rPr>
                <w:b/>
              </w:rPr>
            </w:pPr>
            <w:r w:rsidRPr="00731546">
              <w:rPr>
                <w:b/>
              </w:rPr>
              <w:t>Version</w:t>
            </w:r>
          </w:p>
        </w:tc>
        <w:tc>
          <w:tcPr>
            <w:tcW w:w="1080" w:type="pct"/>
            <w:tcBorders>
              <w:top w:val="single" w:sz="4" w:space="0" w:color="auto"/>
              <w:left w:val="single" w:sz="4" w:space="0" w:color="auto"/>
              <w:bottom w:val="single" w:sz="4" w:space="0" w:color="auto"/>
              <w:right w:val="single" w:sz="4" w:space="0" w:color="auto"/>
            </w:tcBorders>
            <w:vAlign w:val="center"/>
          </w:tcPr>
          <w:p w14:paraId="23F6572A" w14:textId="77777777" w:rsidR="00760D6D" w:rsidRPr="00731546" w:rsidRDefault="00760D6D" w:rsidP="00731546">
            <w:pPr>
              <w:pStyle w:val="ClearedByText"/>
              <w:rPr>
                <w:b/>
              </w:rPr>
            </w:pPr>
            <w:r w:rsidRPr="00731546">
              <w:rPr>
                <w:b/>
              </w:rPr>
              <w:t>Approved By Name</w:t>
            </w:r>
          </w:p>
        </w:tc>
        <w:tc>
          <w:tcPr>
            <w:tcW w:w="1837" w:type="pct"/>
            <w:tcBorders>
              <w:top w:val="single" w:sz="4" w:space="0" w:color="auto"/>
              <w:left w:val="single" w:sz="4" w:space="0" w:color="auto"/>
              <w:bottom w:val="single" w:sz="4" w:space="0" w:color="auto"/>
              <w:right w:val="single" w:sz="4" w:space="0" w:color="auto"/>
            </w:tcBorders>
            <w:vAlign w:val="center"/>
          </w:tcPr>
          <w:p w14:paraId="3C7AA9D8" w14:textId="77777777" w:rsidR="00760D6D" w:rsidRPr="00731546" w:rsidRDefault="00760D6D" w:rsidP="00127853">
            <w:pPr>
              <w:pStyle w:val="ClearedByText"/>
              <w:rPr>
                <w:b/>
              </w:rPr>
            </w:pPr>
            <w:r w:rsidRPr="00731546">
              <w:rPr>
                <w:b/>
              </w:rPr>
              <w:t>Approved By Title</w:t>
            </w:r>
          </w:p>
        </w:tc>
        <w:tc>
          <w:tcPr>
            <w:tcW w:w="1397" w:type="pct"/>
            <w:tcBorders>
              <w:top w:val="single" w:sz="4" w:space="0" w:color="auto"/>
              <w:left w:val="single" w:sz="4" w:space="0" w:color="auto"/>
              <w:bottom w:val="single" w:sz="4" w:space="0" w:color="auto"/>
              <w:right w:val="single" w:sz="4" w:space="0" w:color="auto"/>
            </w:tcBorders>
            <w:vAlign w:val="center"/>
          </w:tcPr>
          <w:p w14:paraId="48D2972A" w14:textId="77777777" w:rsidR="00760D6D" w:rsidRPr="00731546" w:rsidRDefault="00760D6D" w:rsidP="00127853">
            <w:pPr>
              <w:pStyle w:val="ClearedByText"/>
              <w:rPr>
                <w:b/>
              </w:rPr>
            </w:pPr>
            <w:r w:rsidRPr="00731546">
              <w:rPr>
                <w:b/>
              </w:rPr>
              <w:t>Amendment Notes</w:t>
            </w:r>
          </w:p>
        </w:tc>
      </w:tr>
      <w:tr w:rsidR="00760D6D" w14:paraId="299A084C" w14:textId="5110EB58" w:rsidTr="00760D6D">
        <w:trPr>
          <w:cantSplit/>
          <w:trHeight w:val="442"/>
        </w:trPr>
        <w:tc>
          <w:tcPr>
            <w:tcW w:w="687" w:type="pct"/>
            <w:tcBorders>
              <w:top w:val="single" w:sz="4" w:space="0" w:color="auto"/>
            </w:tcBorders>
            <w:vAlign w:val="center"/>
          </w:tcPr>
          <w:p w14:paraId="17B877DF" w14:textId="10D67D75" w:rsidR="00760D6D" w:rsidRDefault="00760D6D" w:rsidP="00127853">
            <w:pPr>
              <w:pStyle w:val="ClearedByText"/>
            </w:pPr>
            <w:r>
              <w:t>1.0</w:t>
            </w:r>
          </w:p>
        </w:tc>
        <w:tc>
          <w:tcPr>
            <w:tcW w:w="1080" w:type="pct"/>
            <w:tcBorders>
              <w:top w:val="single" w:sz="4" w:space="0" w:color="auto"/>
            </w:tcBorders>
            <w:vAlign w:val="center"/>
          </w:tcPr>
          <w:p w14:paraId="1ADB5585" w14:textId="251136B6" w:rsidR="00760D6D" w:rsidRDefault="00760D6D" w:rsidP="00127853">
            <w:pPr>
              <w:pStyle w:val="ClearedByText"/>
            </w:pPr>
          </w:p>
        </w:tc>
        <w:tc>
          <w:tcPr>
            <w:tcW w:w="1837" w:type="pct"/>
            <w:tcBorders>
              <w:top w:val="single" w:sz="4" w:space="0" w:color="auto"/>
            </w:tcBorders>
            <w:vAlign w:val="center"/>
          </w:tcPr>
          <w:p w14:paraId="6B6C88EF" w14:textId="201E9DC6" w:rsidR="00760D6D" w:rsidRDefault="00760D6D" w:rsidP="00127853">
            <w:pPr>
              <w:pStyle w:val="ClearedByText"/>
            </w:pPr>
          </w:p>
        </w:tc>
        <w:tc>
          <w:tcPr>
            <w:tcW w:w="1397" w:type="pct"/>
            <w:tcBorders>
              <w:top w:val="single" w:sz="4" w:space="0" w:color="auto"/>
            </w:tcBorders>
            <w:vAlign w:val="center"/>
          </w:tcPr>
          <w:p w14:paraId="3DCE2CD0" w14:textId="77777777" w:rsidR="00760D6D" w:rsidRDefault="00760D6D" w:rsidP="00127853">
            <w:pPr>
              <w:pStyle w:val="ClearedByText"/>
            </w:pPr>
          </w:p>
        </w:tc>
      </w:tr>
      <w:tr w:rsidR="00760D6D" w14:paraId="19B8F0C1" w14:textId="48D2E97A" w:rsidTr="00760D6D">
        <w:trPr>
          <w:cantSplit/>
          <w:trHeight w:val="442"/>
        </w:trPr>
        <w:tc>
          <w:tcPr>
            <w:tcW w:w="687" w:type="pct"/>
            <w:tcBorders>
              <w:top w:val="single" w:sz="4" w:space="0" w:color="auto"/>
            </w:tcBorders>
            <w:vAlign w:val="center"/>
          </w:tcPr>
          <w:p w14:paraId="153D1232" w14:textId="77777777" w:rsidR="00760D6D" w:rsidRDefault="00760D6D" w:rsidP="00127853">
            <w:pPr>
              <w:pStyle w:val="ClearedByText"/>
            </w:pPr>
          </w:p>
        </w:tc>
        <w:tc>
          <w:tcPr>
            <w:tcW w:w="1080" w:type="pct"/>
            <w:tcBorders>
              <w:top w:val="single" w:sz="4" w:space="0" w:color="auto"/>
            </w:tcBorders>
            <w:vAlign w:val="center"/>
          </w:tcPr>
          <w:p w14:paraId="62EFBFAF" w14:textId="77777777" w:rsidR="00760D6D" w:rsidRDefault="00760D6D" w:rsidP="00127853">
            <w:pPr>
              <w:pStyle w:val="ClearedByText"/>
            </w:pPr>
          </w:p>
        </w:tc>
        <w:tc>
          <w:tcPr>
            <w:tcW w:w="1837" w:type="pct"/>
            <w:tcBorders>
              <w:top w:val="single" w:sz="4" w:space="0" w:color="auto"/>
            </w:tcBorders>
            <w:vAlign w:val="center"/>
          </w:tcPr>
          <w:p w14:paraId="22998D45" w14:textId="77777777" w:rsidR="00760D6D" w:rsidRDefault="00760D6D" w:rsidP="00127853">
            <w:pPr>
              <w:pStyle w:val="ClearedByText"/>
            </w:pPr>
          </w:p>
        </w:tc>
        <w:tc>
          <w:tcPr>
            <w:tcW w:w="1397" w:type="pct"/>
            <w:tcBorders>
              <w:top w:val="single" w:sz="4" w:space="0" w:color="auto"/>
            </w:tcBorders>
            <w:vAlign w:val="center"/>
          </w:tcPr>
          <w:p w14:paraId="77CD4ABB" w14:textId="77777777" w:rsidR="00760D6D" w:rsidRDefault="00760D6D" w:rsidP="00127853">
            <w:pPr>
              <w:pStyle w:val="ClearedByText"/>
            </w:pPr>
          </w:p>
        </w:tc>
      </w:tr>
      <w:tr w:rsidR="00760D6D" w14:paraId="36032E42" w14:textId="4DE14F04" w:rsidTr="00760D6D">
        <w:trPr>
          <w:cantSplit/>
          <w:trHeight w:val="442"/>
        </w:trPr>
        <w:tc>
          <w:tcPr>
            <w:tcW w:w="687" w:type="pct"/>
            <w:vAlign w:val="center"/>
          </w:tcPr>
          <w:p w14:paraId="66F8E9A9" w14:textId="77777777" w:rsidR="00760D6D" w:rsidRDefault="00760D6D" w:rsidP="00127853">
            <w:pPr>
              <w:pStyle w:val="ClearedByText"/>
            </w:pPr>
          </w:p>
        </w:tc>
        <w:tc>
          <w:tcPr>
            <w:tcW w:w="1080" w:type="pct"/>
            <w:vAlign w:val="center"/>
          </w:tcPr>
          <w:p w14:paraId="7628F885" w14:textId="77777777" w:rsidR="00760D6D" w:rsidRDefault="00760D6D" w:rsidP="00127853">
            <w:pPr>
              <w:pStyle w:val="ClearedByText"/>
            </w:pPr>
          </w:p>
        </w:tc>
        <w:tc>
          <w:tcPr>
            <w:tcW w:w="1837" w:type="pct"/>
            <w:vAlign w:val="center"/>
          </w:tcPr>
          <w:p w14:paraId="1CD2F763" w14:textId="77777777" w:rsidR="00760D6D" w:rsidRDefault="00760D6D" w:rsidP="00127853">
            <w:pPr>
              <w:pStyle w:val="ClearedByText"/>
            </w:pPr>
          </w:p>
        </w:tc>
        <w:tc>
          <w:tcPr>
            <w:tcW w:w="1397" w:type="pct"/>
            <w:vAlign w:val="center"/>
          </w:tcPr>
          <w:p w14:paraId="6469482F" w14:textId="77777777" w:rsidR="00760D6D" w:rsidRDefault="00760D6D" w:rsidP="00127853">
            <w:pPr>
              <w:pStyle w:val="ClearedByText"/>
            </w:pPr>
          </w:p>
        </w:tc>
      </w:tr>
    </w:tbl>
    <w:p w14:paraId="0D3352B3" w14:textId="32D98399" w:rsidR="00117ED9" w:rsidRPr="00D831AC" w:rsidRDefault="00117ED9" w:rsidP="00D831AC">
      <w:pPr>
        <w:spacing w:after="0" w:line="240" w:lineRule="auto"/>
        <w:rPr>
          <w:sz w:val="4"/>
          <w:szCs w:val="16"/>
          <w:lang w:eastAsia="en-AU"/>
        </w:rPr>
      </w:pPr>
    </w:p>
    <w:p w14:paraId="04F843EB" w14:textId="77777777" w:rsidR="00556F02" w:rsidRPr="00BC0D29" w:rsidRDefault="00117ED9" w:rsidP="00E933A8">
      <w:pPr>
        <w:pStyle w:val="Heading3"/>
      </w:pPr>
      <w:bookmarkStart w:id="2" w:name="bmStart"/>
      <w:bookmarkEnd w:id="2"/>
      <w:r>
        <w:lastRenderedPageBreak/>
        <w:t>Introduction</w:t>
      </w:r>
    </w:p>
    <w:p w14:paraId="6B99FEA4" w14:textId="5D64C54B" w:rsidR="007068D1" w:rsidRDefault="007068D1" w:rsidP="008E1C11">
      <w:pPr>
        <w:pStyle w:val="BulletedListLevel1"/>
        <w:numPr>
          <w:ilvl w:val="0"/>
          <w:numId w:val="29"/>
        </w:numPr>
        <w:ind w:left="567" w:hanging="567"/>
      </w:pPr>
      <w:r>
        <w:t xml:space="preserve">The purpose of this document is to describe the </w:t>
      </w:r>
      <w:r w:rsidR="001F53A4">
        <w:t>Low Risk H</w:t>
      </w:r>
      <w:r>
        <w:t xml:space="preserve">uman </w:t>
      </w:r>
      <w:r w:rsidR="001F53A4">
        <w:t>R</w:t>
      </w:r>
      <w:r>
        <w:t xml:space="preserve">esearch </w:t>
      </w:r>
      <w:r w:rsidR="001F53A4">
        <w:t>E</w:t>
      </w:r>
      <w:r>
        <w:t xml:space="preserve">thics </w:t>
      </w:r>
      <w:r w:rsidR="001F53A4">
        <w:t>C</w:t>
      </w:r>
      <w:r>
        <w:t xml:space="preserve">ommittee </w:t>
      </w:r>
      <w:r w:rsidR="001F53A4">
        <w:t xml:space="preserve">(LRR Ethics Committee) </w:t>
      </w:r>
      <w:r>
        <w:t xml:space="preserve">system implemented by the Tasmanian Department of Health (DoH) to protect the interests of human participants in </w:t>
      </w:r>
      <w:r w:rsidR="004F33B1">
        <w:t xml:space="preserve">low risk </w:t>
      </w:r>
      <w:r>
        <w:t>research</w:t>
      </w:r>
      <w:r w:rsidR="009748C0">
        <w:t xml:space="preserve">, </w:t>
      </w:r>
      <w:r w:rsidR="00986B34">
        <w:t>Quality Improvemen</w:t>
      </w:r>
      <w:r w:rsidR="004F33B1">
        <w:t xml:space="preserve">t (QI), </w:t>
      </w:r>
      <w:r w:rsidR="00B60179">
        <w:t xml:space="preserve">and </w:t>
      </w:r>
      <w:r w:rsidR="004F33B1">
        <w:t>Audit activities</w:t>
      </w:r>
      <w:r>
        <w:t xml:space="preserve"> across the system and to facilitate the conduct of that research</w:t>
      </w:r>
      <w:r w:rsidR="002159DF">
        <w:t xml:space="preserve">, QI, </w:t>
      </w:r>
      <w:r w:rsidR="00B60179">
        <w:t xml:space="preserve">and </w:t>
      </w:r>
      <w:r w:rsidR="002159DF">
        <w:t xml:space="preserve">Audit </w:t>
      </w:r>
      <w:r w:rsidR="00B60179">
        <w:t>projects</w:t>
      </w:r>
      <w:r>
        <w:t>.</w:t>
      </w:r>
    </w:p>
    <w:p w14:paraId="2A29F40E" w14:textId="429F5DB3" w:rsidR="00556F02" w:rsidRPr="00556F02" w:rsidRDefault="00710C98" w:rsidP="008E1C11">
      <w:pPr>
        <w:pStyle w:val="BulletedListLevel1"/>
        <w:numPr>
          <w:ilvl w:val="0"/>
          <w:numId w:val="29"/>
        </w:numPr>
        <w:ind w:left="567" w:hanging="567"/>
      </w:pPr>
      <w:r>
        <w:t xml:space="preserve">This procedure outlines the role and function of the LRR Ethics Committee and the Research Ethics Officer (REO). </w:t>
      </w:r>
    </w:p>
    <w:p w14:paraId="26849906" w14:textId="77777777" w:rsidR="00D93DBF" w:rsidRDefault="00117ED9" w:rsidP="003C3DEB">
      <w:pPr>
        <w:pStyle w:val="Heading3"/>
        <w:rPr>
          <w:lang w:eastAsia="en-AU"/>
        </w:rPr>
      </w:pPr>
      <w:r>
        <w:rPr>
          <w:lang w:eastAsia="en-AU"/>
        </w:rPr>
        <w:t>Mandatory R</w:t>
      </w:r>
      <w:r w:rsidR="00D93DBF">
        <w:rPr>
          <w:lang w:eastAsia="en-AU"/>
        </w:rPr>
        <w:t>equirements</w:t>
      </w:r>
    </w:p>
    <w:p w14:paraId="104EA949" w14:textId="3AC4D167" w:rsidR="00585483" w:rsidRPr="008E3C84" w:rsidRDefault="000C2DBA" w:rsidP="008E1C11">
      <w:pPr>
        <w:pStyle w:val="BulletedListLevel1"/>
        <w:numPr>
          <w:ilvl w:val="0"/>
          <w:numId w:val="29"/>
        </w:numPr>
        <w:ind w:left="567" w:hanging="567"/>
      </w:pPr>
      <w:r>
        <w:t>The</w:t>
      </w:r>
      <w:r w:rsidR="00585483" w:rsidRPr="008E3C84">
        <w:t xml:space="preserve"> LRR Ethics Committee is constituted and operates in accordance with the </w:t>
      </w:r>
      <w:r w:rsidR="00585483" w:rsidRPr="008E1C11">
        <w:t>National Statement on Ethical Conduct in Human Research</w:t>
      </w:r>
      <w:r w:rsidR="00585483" w:rsidRPr="008E3C84">
        <w:t xml:space="preserve"> (20</w:t>
      </w:r>
      <w:r>
        <w:t>23</w:t>
      </w:r>
      <w:r w:rsidR="00585483" w:rsidRPr="008E3C84">
        <w:t>, and as amended) (The National Statement) and relevant state and national legislation, regulations</w:t>
      </w:r>
      <w:r w:rsidR="002175E8">
        <w:t>,</w:t>
      </w:r>
      <w:r w:rsidR="00585483" w:rsidRPr="008E3C84">
        <w:t xml:space="preserve"> and guidelines. All proceedings of LRR Ethics Committees are strictly confidential.</w:t>
      </w:r>
    </w:p>
    <w:p w14:paraId="6E5A5B19" w14:textId="25D20ED3" w:rsidR="00585483" w:rsidRPr="008E3C84" w:rsidRDefault="00585483" w:rsidP="008E1C11">
      <w:pPr>
        <w:pStyle w:val="BulletedListLevel1"/>
        <w:numPr>
          <w:ilvl w:val="0"/>
          <w:numId w:val="29"/>
        </w:numPr>
        <w:ind w:left="567" w:hanging="567"/>
      </w:pPr>
      <w:r w:rsidRPr="008E3C84">
        <w:t xml:space="preserve">It is the responsibility of </w:t>
      </w:r>
      <w:r w:rsidR="000C2DBA">
        <w:t>the</w:t>
      </w:r>
      <w:r w:rsidRPr="008E3C84">
        <w:t xml:space="preserve"> LRR Ethics Committee to ensure that all low risk human research, quality improvement (QI) or audit </w:t>
      </w:r>
      <w:r w:rsidR="005A65A1">
        <w:t xml:space="preserve">projects </w:t>
      </w:r>
      <w:r w:rsidRPr="008E3C84">
        <w:t xml:space="preserve">within the </w:t>
      </w:r>
      <w:r w:rsidR="00F14DAE">
        <w:t xml:space="preserve">publicly funded </w:t>
      </w:r>
      <w:r w:rsidRPr="008E3C84">
        <w:t xml:space="preserve">Tasmanian Health Sector is conducted according to The National Statement. </w:t>
      </w:r>
    </w:p>
    <w:p w14:paraId="774496DB" w14:textId="0B39643E" w:rsidR="008E3C84" w:rsidRPr="008E3C84" w:rsidRDefault="00585483" w:rsidP="008E1C11">
      <w:pPr>
        <w:pStyle w:val="BulletedListLevel1"/>
        <w:numPr>
          <w:ilvl w:val="0"/>
          <w:numId w:val="29"/>
        </w:numPr>
        <w:ind w:left="567" w:hanging="567"/>
      </w:pPr>
      <w:r w:rsidRPr="008E3C84">
        <w:t xml:space="preserve">It is the responsibility of </w:t>
      </w:r>
      <w:r w:rsidR="005A65A1">
        <w:t>the</w:t>
      </w:r>
      <w:r w:rsidRPr="008E3C84">
        <w:t xml:space="preserve"> LRR Ethics Committee to submit reports annually relating to its activity. These include, but are not limited to:</w:t>
      </w:r>
    </w:p>
    <w:p w14:paraId="280A01E9" w14:textId="77777777" w:rsidR="00585483" w:rsidRPr="008E3C84" w:rsidRDefault="00585483" w:rsidP="008E1C11">
      <w:pPr>
        <w:pStyle w:val="ListParagraph"/>
        <w:numPr>
          <w:ilvl w:val="0"/>
          <w:numId w:val="40"/>
        </w:numPr>
        <w:spacing w:after="140" w:line="300" w:lineRule="atLeast"/>
        <w:ind w:left="1134" w:hanging="567"/>
        <w:contextualSpacing w:val="0"/>
        <w:rPr>
          <w:rFonts w:ascii="Gill Sans MT" w:hAnsi="Gill Sans MT"/>
        </w:rPr>
      </w:pPr>
      <w:r w:rsidRPr="008E3C84">
        <w:rPr>
          <w:rFonts w:ascii="Gill Sans MT" w:hAnsi="Gill Sans MT"/>
        </w:rPr>
        <w:t>National Health and Medical Research Council (NHMRC)</w:t>
      </w:r>
    </w:p>
    <w:p w14:paraId="22F81845" w14:textId="77777777" w:rsidR="00585483" w:rsidRPr="008E3C84" w:rsidRDefault="00585483" w:rsidP="008E1C11">
      <w:pPr>
        <w:pStyle w:val="ListParagraph"/>
        <w:numPr>
          <w:ilvl w:val="0"/>
          <w:numId w:val="40"/>
        </w:numPr>
        <w:spacing w:after="140" w:line="300" w:lineRule="atLeast"/>
        <w:ind w:left="1134" w:hanging="567"/>
        <w:contextualSpacing w:val="0"/>
        <w:rPr>
          <w:rFonts w:ascii="Gill Sans MT" w:hAnsi="Gill Sans MT"/>
        </w:rPr>
      </w:pPr>
      <w:r w:rsidRPr="008E3C84">
        <w:rPr>
          <w:rFonts w:ascii="Gill Sans MT" w:hAnsi="Gill Sans MT"/>
        </w:rPr>
        <w:t>Australian Health Ethics Committee (AHEC)</w:t>
      </w:r>
    </w:p>
    <w:p w14:paraId="22C7D3A1" w14:textId="77777777" w:rsidR="00585483" w:rsidRPr="008E3C84" w:rsidRDefault="00585483" w:rsidP="008E1C11">
      <w:pPr>
        <w:pStyle w:val="ListParagraph"/>
        <w:numPr>
          <w:ilvl w:val="0"/>
          <w:numId w:val="40"/>
        </w:numPr>
        <w:spacing w:after="140" w:line="300" w:lineRule="atLeast"/>
        <w:ind w:left="1134" w:hanging="567"/>
        <w:contextualSpacing w:val="0"/>
        <w:rPr>
          <w:rFonts w:ascii="Gill Sans MT" w:hAnsi="Gill Sans MT"/>
        </w:rPr>
      </w:pPr>
      <w:r w:rsidRPr="008E3C84">
        <w:rPr>
          <w:rFonts w:ascii="Gill Sans MT" w:hAnsi="Gill Sans MT"/>
        </w:rPr>
        <w:t>Health Complaints Commissioner Tasmania</w:t>
      </w:r>
    </w:p>
    <w:p w14:paraId="670E82AE" w14:textId="77777777" w:rsidR="00585483" w:rsidRPr="008E3C84" w:rsidRDefault="00585483" w:rsidP="008E1C11">
      <w:pPr>
        <w:pStyle w:val="ListParagraph"/>
        <w:numPr>
          <w:ilvl w:val="0"/>
          <w:numId w:val="40"/>
        </w:numPr>
        <w:spacing w:after="140" w:line="300" w:lineRule="atLeast"/>
        <w:ind w:left="1134" w:hanging="567"/>
        <w:contextualSpacing w:val="0"/>
        <w:rPr>
          <w:rFonts w:ascii="Gill Sans MT" w:hAnsi="Gill Sans MT"/>
        </w:rPr>
      </w:pPr>
      <w:r w:rsidRPr="008E3C84">
        <w:rPr>
          <w:rFonts w:ascii="Gill Sans MT" w:hAnsi="Gill Sans MT"/>
        </w:rPr>
        <w:t>Tasmanian Health Services Executive Committee</w:t>
      </w:r>
    </w:p>
    <w:p w14:paraId="0A5D1BE9" w14:textId="720A4717" w:rsidR="00117ED9" w:rsidRPr="00FE013D" w:rsidRDefault="00585483" w:rsidP="008E1C11">
      <w:r w:rsidRPr="00FE013D">
        <w:t>The LRR Ethics Committee will provide information to any assessor or accreditation body upon request in order to comply with national standards such as the National Safety and Quality Health Service standards (NSQHS) of the ACSQHC.</w:t>
      </w:r>
    </w:p>
    <w:p w14:paraId="0E9A9BB3" w14:textId="4AB08344" w:rsidR="00117ED9" w:rsidRDefault="009D24F1" w:rsidP="00B77DCE">
      <w:pPr>
        <w:pStyle w:val="Heading3"/>
        <w:keepLines/>
        <w:rPr>
          <w:lang w:eastAsia="en-AU"/>
        </w:rPr>
      </w:pPr>
      <w:r>
        <w:rPr>
          <w:lang w:eastAsia="en-AU"/>
        </w:rPr>
        <w:t>Roles and Functions of the LRR Ethics Committee</w:t>
      </w:r>
    </w:p>
    <w:p w14:paraId="32805A93" w14:textId="00B7E939" w:rsidR="00B77DCE" w:rsidRPr="00DA5537" w:rsidRDefault="00B77DCE" w:rsidP="008E1C11">
      <w:pPr>
        <w:pStyle w:val="ListParagraph"/>
        <w:numPr>
          <w:ilvl w:val="1"/>
          <w:numId w:val="30"/>
        </w:numPr>
        <w:ind w:left="567" w:hanging="567"/>
        <w:rPr>
          <w:b/>
          <w:bCs/>
        </w:rPr>
      </w:pPr>
      <w:r w:rsidRPr="00DA5537">
        <w:rPr>
          <w:b/>
          <w:bCs/>
        </w:rPr>
        <w:t>Ethical Review</w:t>
      </w:r>
      <w:r w:rsidR="008A7AE7">
        <w:rPr>
          <w:b/>
          <w:bCs/>
        </w:rPr>
        <w:t xml:space="preserve"> of </w:t>
      </w:r>
      <w:r w:rsidR="007439DD">
        <w:rPr>
          <w:b/>
          <w:bCs/>
        </w:rPr>
        <w:t xml:space="preserve">Low Risk </w:t>
      </w:r>
      <w:r w:rsidR="008A7AE7">
        <w:rPr>
          <w:b/>
          <w:bCs/>
        </w:rPr>
        <w:t>Research, QI</w:t>
      </w:r>
      <w:r w:rsidR="007439DD">
        <w:rPr>
          <w:b/>
          <w:bCs/>
        </w:rPr>
        <w:t>,</w:t>
      </w:r>
      <w:r w:rsidR="008A7AE7">
        <w:rPr>
          <w:b/>
          <w:bCs/>
        </w:rPr>
        <w:t xml:space="preserve"> and Audit </w:t>
      </w:r>
      <w:r w:rsidR="007439DD">
        <w:rPr>
          <w:b/>
          <w:bCs/>
        </w:rPr>
        <w:t>P</w:t>
      </w:r>
      <w:r w:rsidR="008A7AE7">
        <w:rPr>
          <w:b/>
          <w:bCs/>
        </w:rPr>
        <w:t>rojects</w:t>
      </w:r>
      <w:r w:rsidRPr="00DA5537">
        <w:rPr>
          <w:b/>
          <w:bCs/>
        </w:rPr>
        <w:t xml:space="preserve"> at the Tasmanian Department of Health</w:t>
      </w:r>
    </w:p>
    <w:p w14:paraId="011F8F6D" w14:textId="77777777" w:rsidR="00B77DCE" w:rsidRDefault="00B77DCE" w:rsidP="008E1C11">
      <w:pPr>
        <w:pStyle w:val="ListParagraph"/>
        <w:ind w:left="567" w:hanging="567"/>
      </w:pPr>
    </w:p>
    <w:p w14:paraId="32CDE9CB" w14:textId="03266791" w:rsidR="00B77DCE" w:rsidRDefault="00B25D7E" w:rsidP="008E1C11">
      <w:pPr>
        <w:pStyle w:val="ListParagraph"/>
        <w:ind w:left="0"/>
      </w:pPr>
      <w:r>
        <w:t xml:space="preserve">The </w:t>
      </w:r>
      <w:r w:rsidR="00B77DCE">
        <w:t>LRR Ethics Committee specialises in reviewing research, QI</w:t>
      </w:r>
      <w:r>
        <w:t>,</w:t>
      </w:r>
      <w:r w:rsidR="00B77DCE">
        <w:t xml:space="preserve"> and audit projects that are of lower risk to research participants and/or to others e.g., family members, specific social groups. Any research, QI</w:t>
      </w:r>
      <w:r w:rsidR="005C7DAF">
        <w:t>,</w:t>
      </w:r>
      <w:r w:rsidR="00B77DCE">
        <w:t xml:space="preserve"> or audit proposal that constitutes more than a low risk needs to be reviewed by a Human Research Ethics Committee</w:t>
      </w:r>
      <w:r w:rsidR="005C7DAF">
        <w:t xml:space="preserve"> (HREC)</w:t>
      </w:r>
      <w:r w:rsidR="00B77DCE">
        <w:t xml:space="preserve">. The Research Governance </w:t>
      </w:r>
      <w:r w:rsidR="005C7DAF">
        <w:t xml:space="preserve">and Research Ethics </w:t>
      </w:r>
      <w:r w:rsidR="00B77DCE">
        <w:t>Office</w:t>
      </w:r>
      <w:r w:rsidR="005C7DAF">
        <w:t>s</w:t>
      </w:r>
      <w:r w:rsidR="00B77DCE">
        <w:t xml:space="preserve"> provide advice on the most appropriate HREC for submission of applications</w:t>
      </w:r>
      <w:r w:rsidR="005C7DAF">
        <w:t xml:space="preserve"> that have a higher risk</w:t>
      </w:r>
      <w:r w:rsidR="00B77DCE">
        <w:t>.</w:t>
      </w:r>
    </w:p>
    <w:p w14:paraId="208ED622" w14:textId="77777777" w:rsidR="00B77DCE" w:rsidRDefault="00B77DCE" w:rsidP="008E1C11">
      <w:pPr>
        <w:pStyle w:val="ListParagraph"/>
        <w:ind w:left="567" w:hanging="567"/>
      </w:pPr>
    </w:p>
    <w:p w14:paraId="77D7F2B1" w14:textId="77777777" w:rsidR="008E1C11" w:rsidRDefault="008E1C11">
      <w:pPr>
        <w:keepLines w:val="0"/>
        <w:tabs>
          <w:tab w:val="clear" w:pos="567"/>
        </w:tabs>
        <w:spacing w:after="0" w:line="240" w:lineRule="auto"/>
        <w:rPr>
          <w:rFonts w:asciiTheme="minorHAnsi" w:eastAsiaTheme="minorHAnsi" w:hAnsiTheme="minorHAnsi" w:cstheme="minorBidi"/>
          <w:b/>
          <w:bCs/>
        </w:rPr>
      </w:pPr>
      <w:r>
        <w:rPr>
          <w:b/>
          <w:bCs/>
        </w:rPr>
        <w:br w:type="page"/>
      </w:r>
    </w:p>
    <w:p w14:paraId="22B99CF9" w14:textId="0200E82F" w:rsidR="00B77DCE" w:rsidRPr="00AA6D00" w:rsidRDefault="00B77DCE" w:rsidP="008E1C11">
      <w:pPr>
        <w:pStyle w:val="ListParagraph"/>
        <w:numPr>
          <w:ilvl w:val="1"/>
          <w:numId w:val="30"/>
        </w:numPr>
        <w:ind w:left="567" w:hanging="567"/>
        <w:rPr>
          <w:b/>
          <w:bCs/>
        </w:rPr>
      </w:pPr>
      <w:r w:rsidRPr="00AA6D00">
        <w:rPr>
          <w:b/>
          <w:bCs/>
        </w:rPr>
        <w:t>LR</w:t>
      </w:r>
      <w:r>
        <w:rPr>
          <w:b/>
          <w:bCs/>
        </w:rPr>
        <w:t>R</w:t>
      </w:r>
      <w:r w:rsidRPr="00AA6D00">
        <w:rPr>
          <w:b/>
          <w:bCs/>
        </w:rPr>
        <w:t xml:space="preserve"> Ethics Committee</w:t>
      </w:r>
    </w:p>
    <w:p w14:paraId="1CB5F765" w14:textId="5C6AF558" w:rsidR="00B77DCE" w:rsidRPr="008E1C11" w:rsidRDefault="00B77DCE" w:rsidP="008E1C11">
      <w:pPr>
        <w:pStyle w:val="ListParagraph"/>
        <w:numPr>
          <w:ilvl w:val="2"/>
          <w:numId w:val="36"/>
        </w:numPr>
        <w:spacing w:before="120" w:after="140" w:line="300" w:lineRule="atLeast"/>
        <w:ind w:left="1134" w:hanging="567"/>
        <w:contextualSpacing w:val="0"/>
        <w:rPr>
          <w:b/>
          <w:bCs/>
        </w:rPr>
      </w:pPr>
      <w:r w:rsidRPr="00A744BF">
        <w:rPr>
          <w:b/>
          <w:bCs/>
        </w:rPr>
        <w:t>Constitution</w:t>
      </w:r>
    </w:p>
    <w:p w14:paraId="424A837D" w14:textId="008BC803" w:rsidR="00B77DCE" w:rsidRDefault="005C7DAF" w:rsidP="008E1C11">
      <w:pPr>
        <w:pStyle w:val="ListParagraph"/>
        <w:spacing w:after="140" w:line="300" w:lineRule="atLeast"/>
        <w:ind w:left="567"/>
        <w:contextualSpacing w:val="0"/>
      </w:pPr>
      <w:r>
        <w:t>The</w:t>
      </w:r>
      <w:r w:rsidR="00B77DCE">
        <w:t xml:space="preserve"> LRR Ethics Committee is comprised of a range of representatives from varied backgrounds and, as closely as possible, reflects the membership categories of a</w:t>
      </w:r>
      <w:r w:rsidR="004C369D">
        <w:t>n</w:t>
      </w:r>
      <w:r w:rsidR="00B77DCE">
        <w:t xml:space="preserve"> HREC as stipulated by The National Statement </w:t>
      </w:r>
      <w:r w:rsidR="004C369D">
        <w:t>(2023). Specific</w:t>
      </w:r>
      <w:r w:rsidR="00B77DCE">
        <w:t xml:space="preserve"> detail</w:t>
      </w:r>
      <w:r w:rsidR="004C369D">
        <w:t>s</w:t>
      </w:r>
      <w:r w:rsidR="00194E8C">
        <w:t xml:space="preserve"> can be found</w:t>
      </w:r>
      <w:r w:rsidR="00B77DCE">
        <w:t xml:space="preserve"> </w:t>
      </w:r>
      <w:r w:rsidR="00194E8C">
        <w:t>with</w:t>
      </w:r>
      <w:r w:rsidR="00B77DCE">
        <w:t xml:space="preserve">in the </w:t>
      </w:r>
      <w:r w:rsidR="00B77DCE" w:rsidRPr="00AA6D00">
        <w:rPr>
          <w:b/>
          <w:bCs/>
        </w:rPr>
        <w:t>L</w:t>
      </w:r>
      <w:r w:rsidR="00B77DCE">
        <w:rPr>
          <w:b/>
          <w:bCs/>
        </w:rPr>
        <w:t>RR</w:t>
      </w:r>
      <w:r w:rsidR="00B77DCE" w:rsidRPr="00AA6D00">
        <w:rPr>
          <w:b/>
          <w:bCs/>
        </w:rPr>
        <w:t xml:space="preserve"> Ethics Committee Terms of Reference</w:t>
      </w:r>
      <w:r w:rsidR="00B77DCE">
        <w:t xml:space="preserve">. </w:t>
      </w:r>
    </w:p>
    <w:p w14:paraId="73EDAD83" w14:textId="7C6E27D8" w:rsidR="00B77DCE" w:rsidRDefault="00B77DCE" w:rsidP="008E1C11">
      <w:pPr>
        <w:pStyle w:val="ListParagraph"/>
        <w:spacing w:after="140" w:line="300" w:lineRule="atLeast"/>
        <w:ind w:left="567"/>
        <w:contextualSpacing w:val="0"/>
      </w:pPr>
      <w:r>
        <w:t xml:space="preserve">The LRR Ethics Committee </w:t>
      </w:r>
      <w:r w:rsidR="004D6D78">
        <w:t xml:space="preserve">also maintains a </w:t>
      </w:r>
      <w:r w:rsidR="00E04768">
        <w:t>“</w:t>
      </w:r>
      <w:r w:rsidR="004D6D78">
        <w:t xml:space="preserve">pool of </w:t>
      </w:r>
      <w:r w:rsidR="00F34F54">
        <w:t>experts</w:t>
      </w:r>
      <w:r w:rsidR="00E04768">
        <w:t>”</w:t>
      </w:r>
      <w:r w:rsidR="00F34F54">
        <w:t xml:space="preserve">. These experts </w:t>
      </w:r>
      <w:r w:rsidR="00E04768">
        <w:t>include</w:t>
      </w:r>
      <w:r w:rsidR="00F34F54">
        <w:t xml:space="preserve"> </w:t>
      </w:r>
      <w:r>
        <w:t xml:space="preserve">subject matter experts, research methodology specialists, representatives from identified cultural groups, and clinicians with specialist knowledge and expertise to provide advice on specific matters related to any research project. </w:t>
      </w:r>
      <w:r w:rsidR="004F74A6">
        <w:t>The</w:t>
      </w:r>
      <w:r>
        <w:t xml:space="preserve"> LRR Ethics Committee may seek the assistance of </w:t>
      </w:r>
      <w:r w:rsidR="004F74A6">
        <w:t>additional</w:t>
      </w:r>
      <w:r>
        <w:t xml:space="preserve"> experts as it chooses</w:t>
      </w:r>
      <w:r w:rsidR="00F14DAE">
        <w:t xml:space="preserve"> or deems necessary</w:t>
      </w:r>
      <w:r>
        <w:t>.</w:t>
      </w:r>
    </w:p>
    <w:p w14:paraId="5CA3CDB3" w14:textId="49954A63" w:rsidR="00B77DCE" w:rsidRDefault="00B77DCE" w:rsidP="008E1C11">
      <w:pPr>
        <w:pStyle w:val="ListParagraph"/>
        <w:spacing w:after="140" w:line="300" w:lineRule="atLeast"/>
        <w:ind w:left="567"/>
        <w:contextualSpacing w:val="0"/>
      </w:pPr>
      <w:r>
        <w:t xml:space="preserve">The Committee’s methodology is to reach decision through discussion and consensus agreement. </w:t>
      </w:r>
    </w:p>
    <w:p w14:paraId="1317347B" w14:textId="77777777" w:rsidR="00B77DCE" w:rsidRPr="00AA6D00" w:rsidRDefault="00B77DCE" w:rsidP="008E1C11">
      <w:pPr>
        <w:pStyle w:val="ListParagraph"/>
        <w:numPr>
          <w:ilvl w:val="2"/>
          <w:numId w:val="36"/>
        </w:numPr>
        <w:spacing w:before="120" w:after="140" w:line="300" w:lineRule="atLeast"/>
        <w:ind w:left="1134" w:hanging="567"/>
        <w:contextualSpacing w:val="0"/>
        <w:rPr>
          <w:b/>
          <w:bCs/>
        </w:rPr>
      </w:pPr>
      <w:r w:rsidRPr="00AA6D00">
        <w:rPr>
          <w:b/>
          <w:bCs/>
        </w:rPr>
        <w:t>Role</w:t>
      </w:r>
    </w:p>
    <w:p w14:paraId="213C7216" w14:textId="16B35402" w:rsidR="00CE12D7" w:rsidRDefault="00B77DCE" w:rsidP="008E1C11">
      <w:pPr>
        <w:pStyle w:val="ListParagraph"/>
        <w:spacing w:after="140" w:line="300" w:lineRule="atLeast"/>
        <w:ind w:left="567"/>
        <w:contextualSpacing w:val="0"/>
      </w:pPr>
      <w:r>
        <w:t xml:space="preserve">The primary role of the LRR Ethics Committee is to consider ethical aspects of human research in accordance with the requirements of The National Statement and relevant state and national legislation, regulations and guidelines. One part of this is the review and, as appropriate, approval or rejection of new research projects and amendments submitted by researchers. </w:t>
      </w:r>
      <w:r w:rsidR="00466B8A">
        <w:t>The LRR Ethics Committee also plays an important role in the ongoing monitoring of research projects it has approved.</w:t>
      </w:r>
    </w:p>
    <w:p w14:paraId="0262BE08" w14:textId="636B39FB" w:rsidR="00B77DCE" w:rsidRDefault="00CE12D7" w:rsidP="008E1C11">
      <w:pPr>
        <w:pStyle w:val="ListParagraph"/>
        <w:spacing w:after="140" w:line="300" w:lineRule="atLeast"/>
        <w:ind w:left="567"/>
        <w:contextualSpacing w:val="0"/>
      </w:pPr>
      <w:r>
        <w:t>For further information about the approach to review of low risk research projects, refer to the National Statement Checklist on the Research Ethics website.</w:t>
      </w:r>
    </w:p>
    <w:p w14:paraId="2120EB7C" w14:textId="77777777" w:rsidR="00B77DCE" w:rsidRPr="001A5367" w:rsidRDefault="00B77DCE" w:rsidP="008E1C11">
      <w:pPr>
        <w:pStyle w:val="ListParagraph"/>
        <w:numPr>
          <w:ilvl w:val="2"/>
          <w:numId w:val="36"/>
        </w:numPr>
        <w:spacing w:before="120" w:after="140" w:line="300" w:lineRule="atLeast"/>
        <w:ind w:left="1134" w:hanging="567"/>
        <w:contextualSpacing w:val="0"/>
        <w:rPr>
          <w:b/>
          <w:bCs/>
        </w:rPr>
      </w:pPr>
      <w:r w:rsidRPr="001A5367">
        <w:rPr>
          <w:b/>
          <w:bCs/>
        </w:rPr>
        <w:t>Meeting Schedule</w:t>
      </w:r>
    </w:p>
    <w:p w14:paraId="086F010D" w14:textId="3F45B328" w:rsidR="00A43DA3" w:rsidRDefault="00BC44B9" w:rsidP="008E1C11">
      <w:pPr>
        <w:pStyle w:val="ListParagraph"/>
        <w:spacing w:after="140" w:line="300" w:lineRule="atLeast"/>
        <w:ind w:left="567"/>
        <w:contextualSpacing w:val="0"/>
      </w:pPr>
      <w:r>
        <w:t>There will be two LRR Ethics Committees constituted. Each</w:t>
      </w:r>
      <w:r w:rsidR="00B77DCE">
        <w:t xml:space="preserve"> LRR Ethics Committee </w:t>
      </w:r>
      <w:r>
        <w:t xml:space="preserve">will </w:t>
      </w:r>
      <w:r w:rsidR="00B77DCE">
        <w:t xml:space="preserve">meet once a month, except </w:t>
      </w:r>
      <w:r>
        <w:t>during</w:t>
      </w:r>
      <w:r w:rsidR="00B77DCE">
        <w:t xml:space="preserve"> December and January when only one Committee will meet. This schedule ensures two LRR Ethics Committee meetings each month. Scheduled meetings and submission due dates are posted on the Research Ethics website.</w:t>
      </w:r>
    </w:p>
    <w:p w14:paraId="52C3CF41" w14:textId="7246A874" w:rsidR="00B77DCE" w:rsidRPr="006F5988" w:rsidRDefault="00CD6F9D" w:rsidP="008E1C11">
      <w:pPr>
        <w:pStyle w:val="ListParagraph"/>
        <w:numPr>
          <w:ilvl w:val="1"/>
          <w:numId w:val="36"/>
        </w:numPr>
        <w:ind w:left="1134" w:hanging="567"/>
        <w:rPr>
          <w:b/>
          <w:bCs/>
        </w:rPr>
      </w:pPr>
      <w:r>
        <w:rPr>
          <w:b/>
          <w:bCs/>
        </w:rPr>
        <w:t>Subcommittee</w:t>
      </w:r>
      <w:r w:rsidR="00B77DCE">
        <w:rPr>
          <w:b/>
          <w:bCs/>
        </w:rPr>
        <w:t xml:space="preserve"> – Expedited Review Subcommittee</w:t>
      </w:r>
    </w:p>
    <w:p w14:paraId="3CF2C1FC" w14:textId="77777777" w:rsidR="00B77DCE" w:rsidRPr="006F5988" w:rsidRDefault="00B77DCE" w:rsidP="008E1C11">
      <w:pPr>
        <w:pStyle w:val="ListParagraph"/>
        <w:numPr>
          <w:ilvl w:val="2"/>
          <w:numId w:val="36"/>
        </w:numPr>
        <w:spacing w:before="120" w:after="140" w:line="300" w:lineRule="atLeast"/>
        <w:ind w:left="1134" w:hanging="567"/>
        <w:contextualSpacing w:val="0"/>
        <w:rPr>
          <w:b/>
          <w:bCs/>
        </w:rPr>
      </w:pPr>
      <w:r w:rsidRPr="006F5988">
        <w:rPr>
          <w:b/>
          <w:bCs/>
        </w:rPr>
        <w:t>Constitution</w:t>
      </w:r>
    </w:p>
    <w:p w14:paraId="4808C46D" w14:textId="63808AB1" w:rsidR="00B77DCE" w:rsidRDefault="00B77DCE" w:rsidP="008E1C11">
      <w:pPr>
        <w:pStyle w:val="ListParagraph"/>
        <w:spacing w:after="140" w:line="300" w:lineRule="atLeast"/>
        <w:ind w:left="567"/>
        <w:contextualSpacing w:val="0"/>
      </w:pPr>
      <w:r>
        <w:t xml:space="preserve">An expedited review subcommittee (the subcommittee) comprising the Chair and two other members of the LRR Ethics Committee, which must include at least one community member, may be appointed from time to time. Subcommittee membership may change if any conflict of interest issues (real or perceived) arise, when a member is not available, or when the LRR Ethics Committee believes a member has specific knowledge and skills applicable to an application under review. Appointment to the subcommittee </w:t>
      </w:r>
      <w:r w:rsidR="00BD0BAB">
        <w:t>will be made by the LRR Ethics Committee</w:t>
      </w:r>
      <w:r>
        <w:t>.</w:t>
      </w:r>
    </w:p>
    <w:p w14:paraId="1364684F" w14:textId="77777777" w:rsidR="00B77DCE" w:rsidRDefault="00B77DCE" w:rsidP="008E1C11">
      <w:pPr>
        <w:pStyle w:val="ListParagraph"/>
        <w:spacing w:after="140" w:line="300" w:lineRule="atLeast"/>
        <w:ind w:left="567"/>
        <w:contextualSpacing w:val="0"/>
      </w:pPr>
      <w:r>
        <w:t>The subcommittee’s methodology is to reach decisions through discussion and consensus agreement.</w:t>
      </w:r>
    </w:p>
    <w:p w14:paraId="37EDA233" w14:textId="77777777" w:rsidR="008E1C11" w:rsidRDefault="008E1C11">
      <w:pPr>
        <w:keepLines w:val="0"/>
        <w:tabs>
          <w:tab w:val="clear" w:pos="567"/>
        </w:tabs>
        <w:spacing w:after="0" w:line="240" w:lineRule="auto"/>
        <w:rPr>
          <w:rFonts w:asciiTheme="minorHAnsi" w:eastAsiaTheme="minorHAnsi" w:hAnsiTheme="minorHAnsi" w:cstheme="minorBidi"/>
          <w:b/>
          <w:bCs/>
        </w:rPr>
      </w:pPr>
      <w:r>
        <w:rPr>
          <w:b/>
          <w:bCs/>
        </w:rPr>
        <w:br w:type="page"/>
      </w:r>
    </w:p>
    <w:p w14:paraId="0E0268F5" w14:textId="71612C4E" w:rsidR="00B77DCE" w:rsidRPr="00855315" w:rsidRDefault="00B77DCE" w:rsidP="008E1C11">
      <w:pPr>
        <w:pStyle w:val="ListParagraph"/>
        <w:numPr>
          <w:ilvl w:val="2"/>
          <w:numId w:val="36"/>
        </w:numPr>
        <w:spacing w:before="120" w:after="140" w:line="300" w:lineRule="atLeast"/>
        <w:ind w:left="1134" w:hanging="567"/>
        <w:contextualSpacing w:val="0"/>
        <w:rPr>
          <w:b/>
          <w:bCs/>
        </w:rPr>
      </w:pPr>
      <w:r w:rsidRPr="00855315">
        <w:rPr>
          <w:b/>
          <w:bCs/>
        </w:rPr>
        <w:t>Role</w:t>
      </w:r>
    </w:p>
    <w:p w14:paraId="308309F8" w14:textId="7D4B227B" w:rsidR="00B77DCE" w:rsidRDefault="00B77DCE" w:rsidP="008E1C11">
      <w:pPr>
        <w:pStyle w:val="ListParagraph"/>
        <w:spacing w:after="140" w:line="300" w:lineRule="atLeast"/>
        <w:ind w:left="567"/>
        <w:contextualSpacing w:val="0"/>
      </w:pPr>
      <w:r>
        <w:t xml:space="preserve">The </w:t>
      </w:r>
      <w:r w:rsidR="002D2578">
        <w:t>subcommittee</w:t>
      </w:r>
      <w:r>
        <w:t xml:space="preserve"> review process allows for review of selected matters outside of formal meeting times.</w:t>
      </w:r>
    </w:p>
    <w:p w14:paraId="2E223C1F" w14:textId="77777777" w:rsidR="00B77DCE" w:rsidRDefault="00B77DCE" w:rsidP="008E1C11">
      <w:pPr>
        <w:pStyle w:val="ListParagraph"/>
        <w:spacing w:after="140" w:line="300" w:lineRule="atLeast"/>
        <w:ind w:left="567"/>
        <w:contextualSpacing w:val="0"/>
      </w:pPr>
      <w:r>
        <w:t>For selected matters, the subcommittee is permitted to provide approval via delegation. The following are examples of such matters:</w:t>
      </w:r>
    </w:p>
    <w:p w14:paraId="7269409C" w14:textId="77777777" w:rsidR="00B77DCE" w:rsidRDefault="00B77DCE" w:rsidP="00A637DC">
      <w:pPr>
        <w:pStyle w:val="ListParagraph"/>
        <w:numPr>
          <w:ilvl w:val="0"/>
          <w:numId w:val="31"/>
        </w:numPr>
        <w:spacing w:after="140" w:line="300" w:lineRule="atLeast"/>
        <w:ind w:left="1134" w:hanging="567"/>
        <w:contextualSpacing w:val="0"/>
      </w:pPr>
      <w:r>
        <w:t>Amendments to approved research projects</w:t>
      </w:r>
    </w:p>
    <w:p w14:paraId="5B309ECB" w14:textId="0B3E4725" w:rsidR="001A7A16" w:rsidRDefault="00B77DCE" w:rsidP="00A637DC">
      <w:pPr>
        <w:pStyle w:val="ListParagraph"/>
        <w:numPr>
          <w:ilvl w:val="0"/>
          <w:numId w:val="31"/>
        </w:numPr>
        <w:spacing w:after="140" w:line="300" w:lineRule="atLeast"/>
        <w:ind w:left="1134" w:hanging="567"/>
        <w:contextualSpacing w:val="0"/>
      </w:pPr>
      <w:r>
        <w:t>Responses from researchers to feedback from the committees</w:t>
      </w:r>
    </w:p>
    <w:p w14:paraId="6E12E6CE" w14:textId="5ED04D5F" w:rsidR="001922CF" w:rsidRDefault="001A7A16" w:rsidP="008E1C11">
      <w:pPr>
        <w:pStyle w:val="ListParagraph"/>
        <w:spacing w:after="140" w:line="300" w:lineRule="atLeast"/>
        <w:ind w:left="567"/>
        <w:contextualSpacing w:val="0"/>
      </w:pPr>
      <w:r>
        <w:t xml:space="preserve">Decisions undertaken by the subcommittee must be reviewed by the LRR Ethics Committee at its next </w:t>
      </w:r>
      <w:r w:rsidRPr="00050822">
        <w:t>meeting.</w:t>
      </w:r>
    </w:p>
    <w:p w14:paraId="259FE677" w14:textId="77777777" w:rsidR="00B77DCE" w:rsidRPr="00855315" w:rsidRDefault="00B77DCE" w:rsidP="008E1C11">
      <w:pPr>
        <w:pStyle w:val="ListParagraph"/>
        <w:numPr>
          <w:ilvl w:val="2"/>
          <w:numId w:val="36"/>
        </w:numPr>
        <w:spacing w:before="120" w:after="140" w:line="300" w:lineRule="atLeast"/>
        <w:ind w:left="1134" w:hanging="567"/>
        <w:contextualSpacing w:val="0"/>
        <w:rPr>
          <w:b/>
          <w:bCs/>
        </w:rPr>
      </w:pPr>
      <w:r w:rsidRPr="00855315">
        <w:rPr>
          <w:b/>
          <w:bCs/>
        </w:rPr>
        <w:t>Meeting Schedule</w:t>
      </w:r>
    </w:p>
    <w:p w14:paraId="0259210D" w14:textId="77777777" w:rsidR="00B77DCE" w:rsidRDefault="00B77DCE" w:rsidP="008E1C11">
      <w:pPr>
        <w:pStyle w:val="ListParagraph"/>
        <w:spacing w:after="140" w:line="300" w:lineRule="atLeast"/>
        <w:ind w:left="567"/>
        <w:contextualSpacing w:val="0"/>
      </w:pPr>
      <w:r>
        <w:t>Each subcommittee meets once a month, except December and January, between full meetings of the LRR Ethics Committee. Scheduled meetings and submission due dates are posted on the Research Ethics website.</w:t>
      </w:r>
    </w:p>
    <w:p w14:paraId="30559D94" w14:textId="005DD54C" w:rsidR="00B77DCE" w:rsidRPr="00470D51" w:rsidRDefault="00B77DCE" w:rsidP="008E1C11">
      <w:pPr>
        <w:pStyle w:val="ListParagraph"/>
        <w:numPr>
          <w:ilvl w:val="1"/>
          <w:numId w:val="36"/>
        </w:numPr>
        <w:ind w:left="1134" w:hanging="567"/>
        <w:rPr>
          <w:b/>
          <w:bCs/>
        </w:rPr>
      </w:pPr>
      <w:r w:rsidRPr="00470D51">
        <w:rPr>
          <w:b/>
          <w:bCs/>
        </w:rPr>
        <w:t>External Experts</w:t>
      </w:r>
    </w:p>
    <w:p w14:paraId="5F8B16E6" w14:textId="2E6B41CF" w:rsidR="00B77DCE" w:rsidRDefault="00B77DCE" w:rsidP="008E1C11">
      <w:pPr>
        <w:pStyle w:val="ListParagraph"/>
        <w:spacing w:after="140" w:line="300" w:lineRule="atLeast"/>
        <w:ind w:left="567"/>
        <w:contextualSpacing w:val="0"/>
      </w:pPr>
      <w:r>
        <w:t>If an expert opinion is required, which cannot be found within the existing LRR Ethics Committee structure,</w:t>
      </w:r>
      <w:r w:rsidR="001C01CD">
        <w:t xml:space="preserve"> including among the established “pool of experts”,</w:t>
      </w:r>
      <w:r>
        <w:t xml:space="preserve"> the opinion of an external expert will be sought. Any expert external to the Department of Health and the Tasmanian Health Service much sign an Agreement for the Conduct of Expert Review. The Agreement incorporates condition</w:t>
      </w:r>
      <w:r w:rsidR="001C01CD">
        <w:t>s</w:t>
      </w:r>
      <w:r>
        <w:t xml:space="preserve"> of the review as well as a confidentiality agreement and a declaration of private interest form. The contract must be signed prior to the expert receiving any project material for review.</w:t>
      </w:r>
    </w:p>
    <w:p w14:paraId="75FA681E" w14:textId="77777777" w:rsidR="00B77DCE" w:rsidRPr="00470D51" w:rsidRDefault="00B77DCE" w:rsidP="008E1C11">
      <w:pPr>
        <w:pStyle w:val="ListParagraph"/>
        <w:numPr>
          <w:ilvl w:val="1"/>
          <w:numId w:val="36"/>
        </w:numPr>
        <w:ind w:left="1134" w:hanging="567"/>
        <w:rPr>
          <w:b/>
          <w:bCs/>
        </w:rPr>
      </w:pPr>
      <w:r w:rsidRPr="00470D51">
        <w:rPr>
          <w:b/>
          <w:bCs/>
        </w:rPr>
        <w:t>The Research Ethics Officer</w:t>
      </w:r>
    </w:p>
    <w:p w14:paraId="22793CB0" w14:textId="22DFDEEC" w:rsidR="00B77DCE" w:rsidRDefault="00B77DCE" w:rsidP="008E1C11">
      <w:pPr>
        <w:pStyle w:val="ListParagraph"/>
        <w:spacing w:after="140" w:line="300" w:lineRule="atLeast"/>
        <w:ind w:left="567"/>
        <w:contextualSpacing w:val="0"/>
      </w:pPr>
      <w:r>
        <w:t xml:space="preserve">The LRR Ethics Committee and subcommittee are supported by a Research Ethics Officer (REO). The LRR Ethics Committee and subcommittee delegate all communication and correspondence to </w:t>
      </w:r>
      <w:r w:rsidR="0052787D">
        <w:t>the</w:t>
      </w:r>
      <w:r>
        <w:t xml:space="preserve"> REO.</w:t>
      </w:r>
    </w:p>
    <w:p w14:paraId="2019F419" w14:textId="1EC25739" w:rsidR="00B77DCE" w:rsidRDefault="00B77DCE" w:rsidP="008E1C11">
      <w:pPr>
        <w:pStyle w:val="ListParagraph"/>
        <w:spacing w:after="140" w:line="300" w:lineRule="atLeast"/>
        <w:ind w:left="567"/>
        <w:contextualSpacing w:val="0"/>
      </w:pPr>
      <w:r>
        <w:t>For more information about the role of a REO, refer to SOP002</w:t>
      </w:r>
      <w:r w:rsidR="005355E5">
        <w:t>_ETH</w:t>
      </w:r>
      <w:r>
        <w:t>: Ethical Review Administration.</w:t>
      </w:r>
    </w:p>
    <w:p w14:paraId="1EB6137D" w14:textId="77777777" w:rsidR="00B77DCE" w:rsidRPr="00E436EE" w:rsidRDefault="00B77DCE" w:rsidP="008E1C11">
      <w:pPr>
        <w:pStyle w:val="ListParagraph"/>
        <w:numPr>
          <w:ilvl w:val="2"/>
          <w:numId w:val="36"/>
        </w:numPr>
        <w:spacing w:before="120" w:after="140" w:line="300" w:lineRule="atLeast"/>
        <w:ind w:left="1134" w:hanging="567"/>
        <w:contextualSpacing w:val="0"/>
        <w:rPr>
          <w:b/>
          <w:bCs/>
        </w:rPr>
      </w:pPr>
      <w:r w:rsidRPr="00E436EE">
        <w:rPr>
          <w:b/>
          <w:bCs/>
        </w:rPr>
        <w:t>LR</w:t>
      </w:r>
      <w:r>
        <w:rPr>
          <w:b/>
          <w:bCs/>
        </w:rPr>
        <w:t>R</w:t>
      </w:r>
      <w:r w:rsidRPr="00E436EE">
        <w:rPr>
          <w:b/>
          <w:bCs/>
        </w:rPr>
        <w:t xml:space="preserve"> Ethics Committee Communication</w:t>
      </w:r>
    </w:p>
    <w:p w14:paraId="4A1662EC" w14:textId="77777777" w:rsidR="00B77DCE" w:rsidRPr="00E436EE" w:rsidRDefault="00B77DCE" w:rsidP="008E1C11">
      <w:pPr>
        <w:pStyle w:val="ListParagraph"/>
        <w:numPr>
          <w:ilvl w:val="3"/>
          <w:numId w:val="36"/>
        </w:numPr>
        <w:ind w:left="1701" w:hanging="567"/>
        <w:rPr>
          <w:b/>
          <w:bCs/>
        </w:rPr>
      </w:pPr>
      <w:r w:rsidRPr="00E436EE">
        <w:rPr>
          <w:b/>
          <w:bCs/>
        </w:rPr>
        <w:t>Communication with the LR</w:t>
      </w:r>
      <w:r>
        <w:rPr>
          <w:b/>
          <w:bCs/>
        </w:rPr>
        <w:t>R</w:t>
      </w:r>
      <w:r w:rsidRPr="00E436EE">
        <w:rPr>
          <w:b/>
          <w:bCs/>
        </w:rPr>
        <w:t xml:space="preserve"> Ethics Committee</w:t>
      </w:r>
      <w:r>
        <w:rPr>
          <w:b/>
          <w:bCs/>
        </w:rPr>
        <w:t>(</w:t>
      </w:r>
      <w:r w:rsidRPr="00E436EE">
        <w:rPr>
          <w:b/>
          <w:bCs/>
        </w:rPr>
        <w:t>s</w:t>
      </w:r>
      <w:r>
        <w:rPr>
          <w:b/>
          <w:bCs/>
        </w:rPr>
        <w:t>)</w:t>
      </w:r>
      <w:r w:rsidRPr="00E436EE">
        <w:rPr>
          <w:b/>
          <w:bCs/>
        </w:rPr>
        <w:t xml:space="preserve"> or </w:t>
      </w:r>
      <w:r>
        <w:rPr>
          <w:b/>
          <w:bCs/>
        </w:rPr>
        <w:t>subcommittee(s)</w:t>
      </w:r>
    </w:p>
    <w:p w14:paraId="57DDE0A2" w14:textId="77777777" w:rsidR="00B77DCE" w:rsidRDefault="00B77DCE" w:rsidP="008E1C11">
      <w:pPr>
        <w:ind w:left="1134"/>
      </w:pPr>
      <w:r>
        <w:t>Communication between sponsors and/or researchers and their delegates and the LRR Ethics Committee(s) or subcommittees may happen as follows:</w:t>
      </w:r>
    </w:p>
    <w:p w14:paraId="75FF8C14" w14:textId="62497573" w:rsidR="00B77DCE" w:rsidRDefault="00B77DCE" w:rsidP="008E1C11">
      <w:pPr>
        <w:pStyle w:val="ListParagraph"/>
        <w:numPr>
          <w:ilvl w:val="0"/>
          <w:numId w:val="32"/>
        </w:numPr>
        <w:spacing w:after="140" w:line="300" w:lineRule="atLeast"/>
        <w:ind w:left="1701" w:hanging="567"/>
        <w:contextualSpacing w:val="0"/>
      </w:pPr>
      <w:r>
        <w:t xml:space="preserve">In writing. Sponsors and/or researchers and their delegates may write a letter, </w:t>
      </w:r>
      <w:r w:rsidR="00C21D30">
        <w:t>email,</w:t>
      </w:r>
      <w:r>
        <w:t xml:space="preserve"> or memo; or</w:t>
      </w:r>
    </w:p>
    <w:p w14:paraId="67ADC450" w14:textId="77777777" w:rsidR="00B77DCE" w:rsidRDefault="00B77DCE" w:rsidP="008E1C11">
      <w:pPr>
        <w:pStyle w:val="ListParagraph"/>
        <w:numPr>
          <w:ilvl w:val="0"/>
          <w:numId w:val="32"/>
        </w:numPr>
        <w:spacing w:after="140" w:line="300" w:lineRule="atLeast"/>
        <w:ind w:left="1701" w:hanging="567"/>
        <w:contextualSpacing w:val="0"/>
      </w:pPr>
      <w:r>
        <w:t>In person. A researcher may be invited to attend a LRR Ethics Committee or subcommittee</w:t>
      </w:r>
    </w:p>
    <w:p w14:paraId="10512461" w14:textId="66ED1C9F" w:rsidR="00B77DCE" w:rsidRDefault="00B77DCE" w:rsidP="008E1C11">
      <w:pPr>
        <w:ind w:left="1134"/>
      </w:pPr>
      <w:r>
        <w:t xml:space="preserve">All contact between sponsors, </w:t>
      </w:r>
      <w:r w:rsidR="00C42B7A">
        <w:t>researchers,</w:t>
      </w:r>
      <w:r>
        <w:t xml:space="preserve"> and their delegates and the LRR Ethics Committee(s) and subcommittees is via the REO.</w:t>
      </w:r>
      <w:r w:rsidR="008A46FA">
        <w:t xml:space="preserve"> This is to ensure all communications are appropriately tracked and </w:t>
      </w:r>
      <w:r w:rsidR="00406BCC">
        <w:t>any determinations stored.</w:t>
      </w:r>
    </w:p>
    <w:p w14:paraId="13ED659F" w14:textId="77777777" w:rsidR="00B77DCE" w:rsidRDefault="00B77DCE" w:rsidP="008E1C11">
      <w:pPr>
        <w:pStyle w:val="ListParagraph"/>
        <w:numPr>
          <w:ilvl w:val="3"/>
          <w:numId w:val="36"/>
        </w:numPr>
        <w:ind w:left="1701" w:hanging="567"/>
        <w:rPr>
          <w:b/>
          <w:bCs/>
        </w:rPr>
      </w:pPr>
      <w:r>
        <w:rPr>
          <w:b/>
          <w:bCs/>
        </w:rPr>
        <w:t>Researchers’ Request to attend the LRR Ethics Committee(s) or Subcommittee</w:t>
      </w:r>
    </w:p>
    <w:p w14:paraId="15604A13" w14:textId="77777777" w:rsidR="00B77DCE" w:rsidRDefault="00B77DCE" w:rsidP="002367E1">
      <w:pPr>
        <w:ind w:left="1134"/>
      </w:pPr>
      <w:r w:rsidRPr="00E436EE">
        <w:t xml:space="preserve">If a </w:t>
      </w:r>
      <w:r>
        <w:t>researcher requests to attend a LRR Ethics Committee or subcommittee, the following must occur:</w:t>
      </w:r>
    </w:p>
    <w:p w14:paraId="2A066F0E" w14:textId="77777777" w:rsidR="00B77DCE" w:rsidRDefault="00B77DCE" w:rsidP="002367E1">
      <w:pPr>
        <w:pStyle w:val="ListParagraph"/>
        <w:numPr>
          <w:ilvl w:val="0"/>
          <w:numId w:val="33"/>
        </w:numPr>
        <w:spacing w:after="140" w:line="300" w:lineRule="atLeast"/>
        <w:ind w:left="1701" w:hanging="567"/>
        <w:contextualSpacing w:val="0"/>
      </w:pPr>
      <w:r>
        <w:t>The researcher must contact the Research Ethics Office and make them aware of the request.</w:t>
      </w:r>
    </w:p>
    <w:p w14:paraId="53DF2FBF" w14:textId="4F12701D" w:rsidR="00B77DCE" w:rsidRDefault="00B77DCE" w:rsidP="002367E1">
      <w:pPr>
        <w:pStyle w:val="ListParagraph"/>
        <w:numPr>
          <w:ilvl w:val="0"/>
          <w:numId w:val="33"/>
        </w:numPr>
        <w:spacing w:after="140" w:line="300" w:lineRule="atLeast"/>
        <w:ind w:left="1701" w:hanging="567"/>
        <w:contextualSpacing w:val="0"/>
      </w:pPr>
      <w:r>
        <w:t xml:space="preserve">A REO will confirm with the researcher </w:t>
      </w:r>
      <w:r w:rsidR="00275F64">
        <w:t>the appropriate</w:t>
      </w:r>
      <w:r>
        <w:t xml:space="preserve"> meeting they </w:t>
      </w:r>
      <w:r w:rsidR="00275F64">
        <w:t xml:space="preserve">should </w:t>
      </w:r>
      <w:r>
        <w:t>attend, and then ensure that the relevant project has been/will be put on the meeting agenda.</w:t>
      </w:r>
    </w:p>
    <w:p w14:paraId="34378D0D" w14:textId="77777777" w:rsidR="00B77DCE" w:rsidRDefault="00B77DCE" w:rsidP="002367E1">
      <w:pPr>
        <w:pStyle w:val="ListParagraph"/>
        <w:numPr>
          <w:ilvl w:val="0"/>
          <w:numId w:val="33"/>
        </w:numPr>
        <w:spacing w:after="140" w:line="300" w:lineRule="atLeast"/>
        <w:ind w:left="1701" w:hanging="567"/>
        <w:contextualSpacing w:val="0"/>
      </w:pPr>
      <w:r>
        <w:t>Once Confirmed, the researcher will be informed that they are welcome to attend the meeting and a date and time of attendance will be agreed.</w:t>
      </w:r>
    </w:p>
    <w:p w14:paraId="5A508630" w14:textId="2212FDF9" w:rsidR="00236629" w:rsidRDefault="00B77DCE" w:rsidP="002367E1">
      <w:pPr>
        <w:pStyle w:val="ListParagraph"/>
        <w:numPr>
          <w:ilvl w:val="0"/>
          <w:numId w:val="33"/>
        </w:numPr>
        <w:spacing w:after="140" w:line="300" w:lineRule="atLeast"/>
        <w:ind w:left="1701" w:hanging="567"/>
        <w:contextualSpacing w:val="0"/>
      </w:pPr>
      <w:r>
        <w:t>A record of the researcher’s attendance will be captured in the meeting minutes and the outcome of the visit will be recorded.</w:t>
      </w:r>
    </w:p>
    <w:p w14:paraId="56450536" w14:textId="77777777" w:rsidR="00B77DCE" w:rsidRDefault="00B77DCE" w:rsidP="00B77DCE">
      <w:pPr>
        <w:pStyle w:val="ListParagraph"/>
        <w:ind w:left="1800"/>
      </w:pPr>
    </w:p>
    <w:p w14:paraId="30E5BAF7" w14:textId="77777777" w:rsidR="00B77DCE" w:rsidRPr="00104E53" w:rsidRDefault="00B77DCE" w:rsidP="002367E1">
      <w:pPr>
        <w:pStyle w:val="ListParagraph"/>
        <w:numPr>
          <w:ilvl w:val="2"/>
          <w:numId w:val="36"/>
        </w:numPr>
        <w:spacing w:before="120" w:after="140" w:line="300" w:lineRule="atLeast"/>
        <w:ind w:left="1134" w:hanging="567"/>
        <w:contextualSpacing w:val="0"/>
        <w:rPr>
          <w:b/>
          <w:bCs/>
        </w:rPr>
      </w:pPr>
      <w:r w:rsidRPr="00104E53">
        <w:rPr>
          <w:b/>
          <w:bCs/>
        </w:rPr>
        <w:t>LR</w:t>
      </w:r>
      <w:r>
        <w:rPr>
          <w:b/>
          <w:bCs/>
        </w:rPr>
        <w:t>R</w:t>
      </w:r>
      <w:r w:rsidRPr="00104E53">
        <w:rPr>
          <w:b/>
          <w:bCs/>
        </w:rPr>
        <w:t xml:space="preserve"> Ethics Committee or </w:t>
      </w:r>
      <w:r>
        <w:rPr>
          <w:b/>
          <w:bCs/>
        </w:rPr>
        <w:t>Subcommittee</w:t>
      </w:r>
      <w:r w:rsidRPr="00104E53">
        <w:rPr>
          <w:b/>
          <w:bCs/>
        </w:rPr>
        <w:t xml:space="preserve"> Request for Researcher Attendance</w:t>
      </w:r>
    </w:p>
    <w:p w14:paraId="7842611B" w14:textId="77777777" w:rsidR="00B77DCE" w:rsidRDefault="00B77DCE" w:rsidP="002367E1">
      <w:pPr>
        <w:ind w:left="567"/>
      </w:pPr>
      <w:r>
        <w:t>If the LRR Ethics Committee(s) or subcommittee(s) request to have a researcher attend a meeting, the following must occur:</w:t>
      </w:r>
    </w:p>
    <w:p w14:paraId="25943EAC" w14:textId="77777777" w:rsidR="00B77DCE" w:rsidRDefault="00B77DCE" w:rsidP="002367E1">
      <w:pPr>
        <w:pStyle w:val="ListParagraph"/>
        <w:numPr>
          <w:ilvl w:val="0"/>
          <w:numId w:val="31"/>
        </w:numPr>
        <w:spacing w:after="140" w:line="300" w:lineRule="atLeast"/>
        <w:ind w:left="1701" w:hanging="567"/>
        <w:contextualSpacing w:val="0"/>
      </w:pPr>
      <w:r>
        <w:t>The LRR Ethics Committee(s) or subcommittee(s) must inform the Research Ethics Office of the request.</w:t>
      </w:r>
    </w:p>
    <w:p w14:paraId="43351BAF" w14:textId="77777777" w:rsidR="00B77DCE" w:rsidRDefault="00B77DCE" w:rsidP="002367E1">
      <w:pPr>
        <w:pStyle w:val="ListParagraph"/>
        <w:numPr>
          <w:ilvl w:val="0"/>
          <w:numId w:val="31"/>
        </w:numPr>
        <w:spacing w:after="140" w:line="300" w:lineRule="atLeast"/>
        <w:ind w:left="1701" w:hanging="567"/>
        <w:contextualSpacing w:val="0"/>
      </w:pPr>
      <w:r>
        <w:t>A REO should then contact the researcher and inform them of the Committee’s or subcommittee’s request.</w:t>
      </w:r>
    </w:p>
    <w:p w14:paraId="6773E230" w14:textId="7167C138" w:rsidR="00B77DCE" w:rsidRDefault="00B77DCE" w:rsidP="002367E1">
      <w:pPr>
        <w:pStyle w:val="ListParagraph"/>
        <w:numPr>
          <w:ilvl w:val="0"/>
          <w:numId w:val="31"/>
        </w:numPr>
        <w:spacing w:after="140" w:line="300" w:lineRule="atLeast"/>
        <w:ind w:left="1701" w:hanging="567"/>
        <w:contextualSpacing w:val="0"/>
      </w:pPr>
      <w:r>
        <w:t>The researcher will either accept o</w:t>
      </w:r>
      <w:r w:rsidR="00A13C5F">
        <w:t>r</w:t>
      </w:r>
      <w:r>
        <w:t xml:space="preserve"> decline the Committee’s or subcommittee’s invitation.</w:t>
      </w:r>
    </w:p>
    <w:p w14:paraId="63B92E91" w14:textId="77777777" w:rsidR="00B77DCE" w:rsidRDefault="00B77DCE" w:rsidP="002367E1">
      <w:pPr>
        <w:pStyle w:val="ListParagraph"/>
        <w:numPr>
          <w:ilvl w:val="0"/>
          <w:numId w:val="31"/>
        </w:numPr>
        <w:spacing w:after="140" w:line="300" w:lineRule="atLeast"/>
        <w:ind w:left="1701" w:hanging="567"/>
        <w:contextualSpacing w:val="0"/>
      </w:pPr>
      <w:r>
        <w:t>If accepted, a date and time of attendance will be agreed.</w:t>
      </w:r>
    </w:p>
    <w:p w14:paraId="523C566D" w14:textId="77777777" w:rsidR="00B77DCE" w:rsidRDefault="00B77DCE" w:rsidP="002367E1">
      <w:pPr>
        <w:pStyle w:val="ListParagraph"/>
        <w:numPr>
          <w:ilvl w:val="0"/>
          <w:numId w:val="31"/>
        </w:numPr>
        <w:spacing w:after="140" w:line="300" w:lineRule="atLeast"/>
        <w:ind w:left="1701" w:hanging="567"/>
        <w:contextualSpacing w:val="0"/>
      </w:pPr>
      <w:r>
        <w:t>A record of the researcher’s attendance will be captured in the meeting minutes and the outcome of the visit will be recorded.</w:t>
      </w:r>
    </w:p>
    <w:p w14:paraId="6FCC870F" w14:textId="77777777" w:rsidR="00B77DCE" w:rsidRDefault="00B77DCE" w:rsidP="002367E1">
      <w:pPr>
        <w:pStyle w:val="ListParagraph"/>
        <w:numPr>
          <w:ilvl w:val="0"/>
          <w:numId w:val="31"/>
        </w:numPr>
        <w:spacing w:after="140" w:line="300" w:lineRule="atLeast"/>
        <w:ind w:left="1701" w:hanging="567"/>
        <w:contextualSpacing w:val="0"/>
      </w:pPr>
      <w:r>
        <w:t>If not accepted, a record of the decline and reasons for the decline, if provided, will be recorded.</w:t>
      </w:r>
    </w:p>
    <w:p w14:paraId="14664722" w14:textId="77777777" w:rsidR="00B77DCE" w:rsidRDefault="00B77DCE" w:rsidP="00B77DCE">
      <w:pPr>
        <w:pStyle w:val="ListParagraph"/>
        <w:ind w:left="1800"/>
      </w:pPr>
    </w:p>
    <w:p w14:paraId="32C3A06B" w14:textId="77777777" w:rsidR="00B77DCE" w:rsidRPr="00104E53" w:rsidRDefault="00B77DCE" w:rsidP="002367E1">
      <w:pPr>
        <w:pStyle w:val="ListParagraph"/>
        <w:numPr>
          <w:ilvl w:val="2"/>
          <w:numId w:val="36"/>
        </w:numPr>
        <w:spacing w:before="120" w:after="140" w:line="300" w:lineRule="atLeast"/>
        <w:ind w:left="1134" w:hanging="567"/>
        <w:contextualSpacing w:val="0"/>
        <w:rPr>
          <w:b/>
          <w:bCs/>
        </w:rPr>
      </w:pPr>
      <w:r w:rsidRPr="00104E53">
        <w:rPr>
          <w:b/>
          <w:bCs/>
        </w:rPr>
        <w:t>Observer Attendance at Meeting</w:t>
      </w:r>
    </w:p>
    <w:p w14:paraId="15EE0423" w14:textId="77777777" w:rsidR="00B77DCE" w:rsidRDefault="00B77DCE" w:rsidP="002367E1">
      <w:pPr>
        <w:ind w:left="567"/>
      </w:pPr>
      <w:r>
        <w:t>If an observer is invited or requests to attend a LRR Ethics Committee or subcommittee meeting, the following must occur:</w:t>
      </w:r>
    </w:p>
    <w:p w14:paraId="1558A117" w14:textId="77777777" w:rsidR="00427FCF" w:rsidRDefault="00427FCF" w:rsidP="002367E1">
      <w:pPr>
        <w:pStyle w:val="ListParagraph"/>
        <w:numPr>
          <w:ilvl w:val="0"/>
          <w:numId w:val="31"/>
        </w:numPr>
        <w:spacing w:after="140" w:line="300" w:lineRule="atLeast"/>
        <w:ind w:left="1701" w:hanging="567"/>
        <w:contextualSpacing w:val="0"/>
      </w:pPr>
      <w:r>
        <w:t>Invitation</w:t>
      </w:r>
    </w:p>
    <w:p w14:paraId="0438EF99" w14:textId="77777777" w:rsidR="001A5A7B" w:rsidRDefault="00427FCF" w:rsidP="002367E1">
      <w:pPr>
        <w:pStyle w:val="ListParagraph"/>
        <w:numPr>
          <w:ilvl w:val="1"/>
          <w:numId w:val="35"/>
        </w:numPr>
        <w:spacing w:after="140" w:line="300" w:lineRule="atLeast"/>
        <w:ind w:left="2268" w:hanging="567"/>
        <w:contextualSpacing w:val="0"/>
      </w:pPr>
      <w:r>
        <w:t>The</w:t>
      </w:r>
      <w:r w:rsidR="00B77DCE">
        <w:t xml:space="preserve"> REO should contact the observer and inform them of the invitation </w:t>
      </w:r>
      <w:r w:rsidR="001A5A7B">
        <w:t>to attend.</w:t>
      </w:r>
    </w:p>
    <w:p w14:paraId="40366181" w14:textId="5AA122E9" w:rsidR="00EB688C" w:rsidRDefault="00EB688C" w:rsidP="002367E1">
      <w:pPr>
        <w:pStyle w:val="ListParagraph"/>
        <w:numPr>
          <w:ilvl w:val="1"/>
          <w:numId w:val="35"/>
        </w:numPr>
        <w:spacing w:after="140" w:line="300" w:lineRule="atLeast"/>
        <w:ind w:left="2268" w:hanging="567"/>
        <w:contextualSpacing w:val="0"/>
      </w:pPr>
      <w:r>
        <w:t>The REO will inform the Chair of the invitee’s response.</w:t>
      </w:r>
    </w:p>
    <w:p w14:paraId="4F853B1B" w14:textId="77777777" w:rsidR="001A5A7B" w:rsidRDefault="001A5A7B" w:rsidP="002367E1">
      <w:pPr>
        <w:pStyle w:val="ListParagraph"/>
        <w:numPr>
          <w:ilvl w:val="0"/>
          <w:numId w:val="31"/>
        </w:numPr>
        <w:spacing w:after="140" w:line="300" w:lineRule="atLeast"/>
        <w:ind w:left="1701" w:hanging="567"/>
        <w:contextualSpacing w:val="0"/>
      </w:pPr>
      <w:r>
        <w:t>Request</w:t>
      </w:r>
    </w:p>
    <w:p w14:paraId="67DC4A1C" w14:textId="77777777" w:rsidR="002075A6" w:rsidRDefault="001A5A7B" w:rsidP="002367E1">
      <w:pPr>
        <w:pStyle w:val="ListParagraph"/>
        <w:numPr>
          <w:ilvl w:val="1"/>
          <w:numId w:val="35"/>
        </w:numPr>
        <w:spacing w:after="140" w:line="300" w:lineRule="atLeast"/>
        <w:ind w:left="2268" w:hanging="567"/>
        <w:contextualSpacing w:val="0"/>
      </w:pPr>
      <w:r>
        <w:t xml:space="preserve">The REO should contact the chair and inform them of </w:t>
      </w:r>
      <w:r w:rsidR="002075A6">
        <w:t>the request to attend.</w:t>
      </w:r>
    </w:p>
    <w:p w14:paraId="7D508C6C" w14:textId="7B8F8558" w:rsidR="002C65C5" w:rsidRDefault="002075A6" w:rsidP="002367E1">
      <w:pPr>
        <w:pStyle w:val="ListParagraph"/>
        <w:numPr>
          <w:ilvl w:val="1"/>
          <w:numId w:val="35"/>
        </w:numPr>
        <w:spacing w:after="140" w:line="300" w:lineRule="atLeast"/>
        <w:ind w:left="2268" w:hanging="567"/>
        <w:contextualSpacing w:val="0"/>
      </w:pPr>
      <w:r>
        <w:t xml:space="preserve">The Chair may request a copy of the </w:t>
      </w:r>
      <w:r w:rsidR="007D2F91">
        <w:t>requestee’s</w:t>
      </w:r>
      <w:r w:rsidR="002C65C5">
        <w:t xml:space="preserve"> CV.</w:t>
      </w:r>
    </w:p>
    <w:p w14:paraId="67216F54" w14:textId="6DA50B18" w:rsidR="00B77DCE" w:rsidRDefault="002C65C5" w:rsidP="002367E1">
      <w:pPr>
        <w:pStyle w:val="ListParagraph"/>
        <w:numPr>
          <w:ilvl w:val="1"/>
          <w:numId w:val="35"/>
        </w:numPr>
        <w:spacing w:after="140" w:line="300" w:lineRule="atLeast"/>
        <w:ind w:left="2268" w:hanging="567"/>
        <w:contextualSpacing w:val="0"/>
      </w:pPr>
      <w:r>
        <w:t>The REO should inform the observer of</w:t>
      </w:r>
      <w:r w:rsidR="002075A6">
        <w:t xml:space="preserve"> </w:t>
      </w:r>
      <w:r w:rsidR="00B77DCE">
        <w:t>acceptance of the attendance request.</w:t>
      </w:r>
    </w:p>
    <w:p w14:paraId="08B8E7B3" w14:textId="7FDB4133" w:rsidR="00B77DCE" w:rsidRDefault="00EB688C" w:rsidP="002367E1">
      <w:pPr>
        <w:pStyle w:val="ListParagraph"/>
        <w:numPr>
          <w:ilvl w:val="0"/>
          <w:numId w:val="31"/>
        </w:numPr>
        <w:spacing w:after="140" w:line="300" w:lineRule="atLeast"/>
        <w:ind w:left="1701" w:hanging="567"/>
        <w:contextualSpacing w:val="0"/>
      </w:pPr>
      <w:r>
        <w:t>The</w:t>
      </w:r>
      <w:r w:rsidR="00B77DCE">
        <w:t xml:space="preserve"> REO </w:t>
      </w:r>
      <w:r>
        <w:t xml:space="preserve">will </w:t>
      </w:r>
      <w:r w:rsidR="00B77DCE">
        <w:t>inform the observer as to the confidential nature of the discussions and if they are external to the Tasmanian Department of Health, they will be requested to sign a Confidentiality Agreement. DoH staff</w:t>
      </w:r>
      <w:r w:rsidR="002B172F">
        <w:t xml:space="preserve"> are bound </w:t>
      </w:r>
      <w:r w:rsidR="008C4709">
        <w:t xml:space="preserve">to confidentiality </w:t>
      </w:r>
      <w:r w:rsidR="002B172F">
        <w:t>by their employment under the State Service Act</w:t>
      </w:r>
      <w:r w:rsidR="00B77DCE">
        <w:t>.</w:t>
      </w:r>
    </w:p>
    <w:p w14:paraId="389D6D02" w14:textId="77777777" w:rsidR="00B77DCE" w:rsidRDefault="00B77DCE" w:rsidP="002367E1">
      <w:pPr>
        <w:pStyle w:val="ListParagraph"/>
        <w:numPr>
          <w:ilvl w:val="0"/>
          <w:numId w:val="31"/>
        </w:numPr>
        <w:spacing w:after="140" w:line="300" w:lineRule="atLeast"/>
        <w:ind w:left="1701" w:hanging="567"/>
        <w:contextualSpacing w:val="0"/>
      </w:pPr>
      <w:r>
        <w:t>A record of the observer’s attendance will be captured in the meeting minutes.</w:t>
      </w:r>
    </w:p>
    <w:p w14:paraId="0A6BBB4C" w14:textId="77777777" w:rsidR="00B77DCE" w:rsidRDefault="00B77DCE" w:rsidP="00B77DCE">
      <w:pPr>
        <w:pStyle w:val="ListParagraph"/>
        <w:ind w:left="1800"/>
      </w:pPr>
    </w:p>
    <w:p w14:paraId="61FD16B8" w14:textId="77777777" w:rsidR="00B77DCE" w:rsidRDefault="00B77DCE" w:rsidP="002367E1">
      <w:pPr>
        <w:pStyle w:val="ListParagraph"/>
        <w:numPr>
          <w:ilvl w:val="1"/>
          <w:numId w:val="36"/>
        </w:numPr>
        <w:ind w:left="1134" w:hanging="567"/>
        <w:rPr>
          <w:b/>
          <w:bCs/>
        </w:rPr>
      </w:pPr>
      <w:r w:rsidRPr="0094346B">
        <w:rPr>
          <w:b/>
          <w:bCs/>
        </w:rPr>
        <w:t>Fees</w:t>
      </w:r>
    </w:p>
    <w:p w14:paraId="2074B5A4" w14:textId="524AE911" w:rsidR="00B77DCE" w:rsidRPr="00B77DCE" w:rsidRDefault="00B77DCE" w:rsidP="002367E1">
      <w:pPr>
        <w:ind w:left="1134"/>
      </w:pPr>
      <w:r>
        <w:t>The DoH charges fees for ethic</w:t>
      </w:r>
      <w:r w:rsidR="003C7276">
        <w:t>s</w:t>
      </w:r>
      <w:r>
        <w:t xml:space="preserve"> review of new research projects</w:t>
      </w:r>
      <w:r w:rsidR="003C7276">
        <w:t>, amendments,</w:t>
      </w:r>
      <w:r>
        <w:t xml:space="preserve"> and other items submitted to the LRR Ethics Committee(s). The fees to be charged </w:t>
      </w:r>
      <w:r w:rsidR="0036563D">
        <w:t>are</w:t>
      </w:r>
      <w:r>
        <w:t xml:space="preserve"> set by the DoH and may change from time to time. The current fee schedule is available on the Research </w:t>
      </w:r>
      <w:r w:rsidR="0036563D">
        <w:t>Governance</w:t>
      </w:r>
      <w:r>
        <w:t xml:space="preserve"> Office </w:t>
      </w:r>
      <w:r w:rsidR="0036563D">
        <w:t>web</w:t>
      </w:r>
      <w:r>
        <w:t>page</w:t>
      </w:r>
      <w:r w:rsidR="0036563D">
        <w:t>.</w:t>
      </w:r>
    </w:p>
    <w:p w14:paraId="5C53C9D0" w14:textId="0A3233FE" w:rsidR="00D93DBF" w:rsidRDefault="008671B8" w:rsidP="00D93DBF">
      <w:pPr>
        <w:pStyle w:val="Heading3"/>
        <w:keepLines/>
        <w:rPr>
          <w:lang w:eastAsia="en-AU"/>
        </w:rPr>
      </w:pPr>
      <w:r>
        <w:rPr>
          <w:lang w:eastAsia="en-AU"/>
        </w:rPr>
        <w:t>Key Performance Indicators</w:t>
      </w:r>
    </w:p>
    <w:p w14:paraId="7E53AC90" w14:textId="48749541" w:rsidR="00431DE3" w:rsidRPr="00431DE3" w:rsidRDefault="00030F21" w:rsidP="002367E1">
      <w:r>
        <w:t>New projects, amendments and other items for review are reviewed in accordance with this SOP. All ethics reviews should be complete within 60 days of first submission, subject to researcher response times.</w:t>
      </w:r>
    </w:p>
    <w:p w14:paraId="3A494674" w14:textId="77777777" w:rsidR="00D93DBF" w:rsidRDefault="00E14AAC" w:rsidP="00D93DBF">
      <w:pPr>
        <w:pStyle w:val="Heading3"/>
        <w:keepLines/>
        <w:rPr>
          <w:lang w:eastAsia="en-AU"/>
        </w:rPr>
      </w:pPr>
      <w:r>
        <w:rPr>
          <w:lang w:eastAsia="en-AU"/>
        </w:rPr>
        <w:t>Key Definitions</w:t>
      </w:r>
    </w:p>
    <w:tbl>
      <w:tblPr>
        <w:tblStyle w:val="TableGrid"/>
        <w:tblW w:w="0" w:type="auto"/>
        <w:tblLook w:val="04A0" w:firstRow="1" w:lastRow="0" w:firstColumn="1" w:lastColumn="0" w:noHBand="0" w:noVBand="1"/>
      </w:tblPr>
      <w:tblGrid>
        <w:gridCol w:w="1696"/>
        <w:gridCol w:w="7932"/>
      </w:tblGrid>
      <w:tr w:rsidR="000C1A1F" w:rsidRPr="00976CCC" w14:paraId="08CF6E82" w14:textId="77777777" w:rsidTr="00FB4773">
        <w:tc>
          <w:tcPr>
            <w:tcW w:w="1696" w:type="dxa"/>
          </w:tcPr>
          <w:p w14:paraId="3D6C2CBF" w14:textId="70E07386" w:rsidR="000C1A1F" w:rsidRPr="00976CCC" w:rsidRDefault="003C7276" w:rsidP="00FB4773">
            <w:pPr>
              <w:rPr>
                <w:lang w:eastAsia="en-AU"/>
              </w:rPr>
            </w:pPr>
            <w:r>
              <w:rPr>
                <w:lang w:eastAsia="en-AU"/>
              </w:rPr>
              <w:t>Tasmanian Department of Health</w:t>
            </w:r>
            <w:r w:rsidR="001A583F">
              <w:rPr>
                <w:lang w:eastAsia="en-AU"/>
              </w:rPr>
              <w:t xml:space="preserve"> (DoH)</w:t>
            </w:r>
          </w:p>
        </w:tc>
        <w:tc>
          <w:tcPr>
            <w:tcW w:w="7932" w:type="dxa"/>
          </w:tcPr>
          <w:p w14:paraId="79FD6317" w14:textId="45F2421B" w:rsidR="000C1A1F" w:rsidRPr="00976CCC" w:rsidRDefault="001A583F" w:rsidP="00FB4773">
            <w:pPr>
              <w:rPr>
                <w:rFonts w:cs="Calibri"/>
              </w:rPr>
            </w:pPr>
            <w:r>
              <w:rPr>
                <w:rFonts w:cs="Calibri"/>
              </w:rPr>
              <w:t>The Tasmanian Department of Health is responsible for hospitals, ambulances, community health, and related areas such as primary healthcare.</w:t>
            </w:r>
          </w:p>
        </w:tc>
      </w:tr>
      <w:tr w:rsidR="003C7276" w:rsidRPr="00976CCC" w14:paraId="6CE5ACBC" w14:textId="77777777" w:rsidTr="00FB4773">
        <w:tc>
          <w:tcPr>
            <w:tcW w:w="1696" w:type="dxa"/>
          </w:tcPr>
          <w:p w14:paraId="77F81B5C" w14:textId="69BDFD98" w:rsidR="003C7276" w:rsidRPr="00976CCC" w:rsidRDefault="003C7276" w:rsidP="003C7276">
            <w:pPr>
              <w:rPr>
                <w:bCs/>
                <w:lang w:eastAsia="en-AU"/>
              </w:rPr>
            </w:pPr>
            <w:r w:rsidRPr="00976CCC">
              <w:rPr>
                <w:bCs/>
                <w:lang w:eastAsia="en-AU"/>
              </w:rPr>
              <w:t>Ethical review</w:t>
            </w:r>
          </w:p>
        </w:tc>
        <w:tc>
          <w:tcPr>
            <w:tcW w:w="7932" w:type="dxa"/>
          </w:tcPr>
          <w:p w14:paraId="043E80F3" w14:textId="38B69FDD" w:rsidR="003C7276" w:rsidRPr="00976CCC" w:rsidRDefault="003C7276" w:rsidP="003C7276">
            <w:pPr>
              <w:rPr>
                <w:shd w:val="clear" w:color="auto" w:fill="FFFFFF"/>
              </w:rPr>
            </w:pPr>
            <w:r w:rsidRPr="00976CCC">
              <w:rPr>
                <w:shd w:val="clear" w:color="auto" w:fill="FFFFFF"/>
              </w:rPr>
              <w:t xml:space="preserve">The </w:t>
            </w:r>
            <w:r>
              <w:rPr>
                <w:shd w:val="clear" w:color="auto" w:fill="FFFFFF"/>
              </w:rPr>
              <w:t>consideration</w:t>
            </w:r>
            <w:r w:rsidRPr="00976CCC">
              <w:rPr>
                <w:shd w:val="clear" w:color="auto" w:fill="FFFFFF"/>
              </w:rPr>
              <w:t xml:space="preserve"> of research by a HREC or other body</w:t>
            </w:r>
            <w:r>
              <w:rPr>
                <w:shd w:val="clear" w:color="auto" w:fill="FFFFFF"/>
              </w:rPr>
              <w:t xml:space="preserve"> such as the LRR Ethics Committee</w:t>
            </w:r>
            <w:r w:rsidRPr="00976CCC">
              <w:rPr>
                <w:shd w:val="clear" w:color="auto" w:fill="FFFFFF"/>
              </w:rPr>
              <w:t>.</w:t>
            </w:r>
          </w:p>
        </w:tc>
      </w:tr>
      <w:tr w:rsidR="000C1A1F" w:rsidRPr="00976CCC" w14:paraId="09821AAC" w14:textId="77777777" w:rsidTr="00FB4773">
        <w:tc>
          <w:tcPr>
            <w:tcW w:w="1696" w:type="dxa"/>
          </w:tcPr>
          <w:p w14:paraId="18CF1C2A" w14:textId="77777777" w:rsidR="000C1A1F" w:rsidRPr="00976CCC" w:rsidRDefault="000C1A1F" w:rsidP="00FB4773">
            <w:pPr>
              <w:rPr>
                <w:lang w:eastAsia="en-AU"/>
              </w:rPr>
            </w:pPr>
            <w:r w:rsidRPr="00976CCC">
              <w:t>Ethical approval</w:t>
            </w:r>
          </w:p>
        </w:tc>
        <w:tc>
          <w:tcPr>
            <w:tcW w:w="7932" w:type="dxa"/>
          </w:tcPr>
          <w:p w14:paraId="5C782DCE" w14:textId="64D16021" w:rsidR="000C1A1F" w:rsidRPr="00976CCC" w:rsidRDefault="000C1A1F" w:rsidP="00FB4773">
            <w:pPr>
              <w:rPr>
                <w:rFonts w:cs="Calibri"/>
              </w:rPr>
            </w:pPr>
            <w:r w:rsidRPr="00976CCC">
              <w:t>A determination by an ethical review body that a research project satisfies ethical standards and requirements, of the NHMRC, National Statement on Ethical Conduct in Human Research 20</w:t>
            </w:r>
            <w:r w:rsidR="002A728B">
              <w:t>23</w:t>
            </w:r>
            <w:r w:rsidRPr="00976CCC">
              <w:t xml:space="preserve"> (National Statement).</w:t>
            </w:r>
          </w:p>
        </w:tc>
      </w:tr>
      <w:tr w:rsidR="000C1A1F" w:rsidRPr="00976CCC" w14:paraId="5CE3544F" w14:textId="77777777" w:rsidTr="00FB4773">
        <w:tc>
          <w:tcPr>
            <w:tcW w:w="1696" w:type="dxa"/>
          </w:tcPr>
          <w:p w14:paraId="5F45DC00" w14:textId="77777777" w:rsidR="000C1A1F" w:rsidRPr="00976CCC" w:rsidRDefault="000C1A1F" w:rsidP="00FB4773">
            <w:pPr>
              <w:rPr>
                <w:lang w:eastAsia="en-AU"/>
              </w:rPr>
            </w:pPr>
            <w:r w:rsidRPr="00976CCC">
              <w:t>Evaluation</w:t>
            </w:r>
          </w:p>
        </w:tc>
        <w:tc>
          <w:tcPr>
            <w:tcW w:w="7932" w:type="dxa"/>
          </w:tcPr>
          <w:p w14:paraId="1615C997" w14:textId="77777777" w:rsidR="000C1A1F" w:rsidRPr="00976CCC" w:rsidRDefault="000C1A1F" w:rsidP="00FB4773">
            <w:pPr>
              <w:rPr>
                <w:rFonts w:cs="Calibri"/>
              </w:rPr>
            </w:pPr>
            <w:r w:rsidRPr="00976CCC">
              <w:rPr>
                <w:rFonts w:cs="Helvetica Neue LT Std"/>
              </w:rPr>
              <w:t>The systematic collection and analysis of information to make judgements, usually about the effectiveness, efficiency and/or appropriateness of an activity. The term is used in a broad sense to refer to any set of procedures, activities, resources, policies and/or strategies designed to achieve some common goal or objective.</w:t>
            </w:r>
          </w:p>
        </w:tc>
      </w:tr>
      <w:tr w:rsidR="00E2635D" w:rsidRPr="00976CCC" w14:paraId="28865633" w14:textId="77777777" w:rsidTr="00FB4773">
        <w:tc>
          <w:tcPr>
            <w:tcW w:w="1696" w:type="dxa"/>
          </w:tcPr>
          <w:p w14:paraId="54F21779" w14:textId="3271CA8C" w:rsidR="00E2635D" w:rsidRPr="00976CCC" w:rsidRDefault="00602C94" w:rsidP="00FB4773">
            <w:pPr>
              <w:rPr>
                <w:bCs/>
                <w:lang w:eastAsia="en-AU"/>
              </w:rPr>
            </w:pPr>
            <w:r>
              <w:rPr>
                <w:bCs/>
                <w:lang w:eastAsia="en-AU"/>
              </w:rPr>
              <w:t>Higher risk Research</w:t>
            </w:r>
          </w:p>
        </w:tc>
        <w:tc>
          <w:tcPr>
            <w:tcW w:w="7932" w:type="dxa"/>
          </w:tcPr>
          <w:p w14:paraId="667B700B" w14:textId="42DD6F35" w:rsidR="00E2635D" w:rsidRDefault="00602C94" w:rsidP="00FB4773">
            <w:pPr>
              <w:rPr>
                <w:lang w:eastAsia="en-AU"/>
              </w:rPr>
            </w:pPr>
            <w:r>
              <w:rPr>
                <w:lang w:eastAsia="en-AU"/>
              </w:rPr>
              <w:t>Research in which there is a risk of harm and in which there may also be a foreseeable burden. The risk of harm in higher risk res</w:t>
            </w:r>
            <w:r w:rsidR="00492EE6">
              <w:rPr>
                <w:lang w:eastAsia="en-AU"/>
              </w:rPr>
              <w:t>earch may or may not be a risk of significant harm and may be a harm on the individual, group, community, societal or global level</w:t>
            </w:r>
            <w:r w:rsidR="00C950DB">
              <w:rPr>
                <w:lang w:eastAsia="en-AU"/>
              </w:rPr>
              <w:t xml:space="preserve"> (see NS Chapter 2.1, Figure 1)</w:t>
            </w:r>
          </w:p>
        </w:tc>
      </w:tr>
      <w:tr w:rsidR="000C1A1F" w:rsidRPr="00976CCC" w14:paraId="047E64AE" w14:textId="77777777" w:rsidTr="00FB4773">
        <w:tc>
          <w:tcPr>
            <w:tcW w:w="1696" w:type="dxa"/>
          </w:tcPr>
          <w:p w14:paraId="18264C38" w14:textId="77777777" w:rsidR="000C1A1F" w:rsidRPr="00976CCC" w:rsidRDefault="000C1A1F" w:rsidP="00FB4773">
            <w:r w:rsidRPr="00976CCC">
              <w:rPr>
                <w:bCs/>
                <w:lang w:eastAsia="en-AU"/>
              </w:rPr>
              <w:t>Human Research Ethics Application Form (HREA)</w:t>
            </w:r>
          </w:p>
        </w:tc>
        <w:tc>
          <w:tcPr>
            <w:tcW w:w="7932" w:type="dxa"/>
          </w:tcPr>
          <w:p w14:paraId="1046BAF1" w14:textId="7F5AAEB6" w:rsidR="000C1A1F" w:rsidRPr="00976CCC" w:rsidRDefault="000C1A1F" w:rsidP="00FB4773">
            <w:pPr>
              <w:rPr>
                <w:rFonts w:cs="Helvetica Neue LT Std"/>
              </w:rPr>
            </w:pPr>
            <w:r>
              <w:rPr>
                <w:lang w:eastAsia="en-AU"/>
              </w:rPr>
              <w:t>A</w:t>
            </w:r>
            <w:r w:rsidRPr="00976CCC">
              <w:rPr>
                <w:lang w:eastAsia="en-AU"/>
              </w:rPr>
              <w:t xml:space="preserve"> national, web-based application form for investigators of all disciplines to complete research ethics proposals for submission to HRECs.</w:t>
            </w:r>
            <w:r w:rsidR="00743F4E">
              <w:rPr>
                <w:lang w:eastAsia="en-AU"/>
              </w:rPr>
              <w:t xml:space="preserve"> Th</w:t>
            </w:r>
            <w:r w:rsidR="000F5191">
              <w:rPr>
                <w:lang w:eastAsia="en-AU"/>
              </w:rPr>
              <w:t xml:space="preserve">e HREA is </w:t>
            </w:r>
            <w:r w:rsidR="00C146CA">
              <w:rPr>
                <w:lang w:eastAsia="en-AU"/>
              </w:rPr>
              <w:t xml:space="preserve">also </w:t>
            </w:r>
            <w:r w:rsidR="000F5191">
              <w:rPr>
                <w:lang w:eastAsia="en-AU"/>
              </w:rPr>
              <w:t>used for lower risk applications submitted to the LRR Ethics Committee.</w:t>
            </w:r>
            <w:r w:rsidRPr="00976CCC">
              <w:rPr>
                <w:lang w:eastAsia="en-AU"/>
              </w:rPr>
              <w:t> </w:t>
            </w:r>
          </w:p>
        </w:tc>
      </w:tr>
      <w:tr w:rsidR="000C1A1F" w:rsidRPr="00976CCC" w14:paraId="65568745" w14:textId="77777777" w:rsidTr="00FB4773">
        <w:tc>
          <w:tcPr>
            <w:tcW w:w="1696" w:type="dxa"/>
          </w:tcPr>
          <w:p w14:paraId="7FE9125E" w14:textId="77777777" w:rsidR="000C1A1F" w:rsidRPr="00976CCC" w:rsidRDefault="000C1A1F" w:rsidP="00FB4773">
            <w:r w:rsidRPr="00976CCC">
              <w:rPr>
                <w:bCs/>
                <w:lang w:eastAsia="en-AU"/>
              </w:rPr>
              <w:t>Human Research Ethics Committee (HREC)</w:t>
            </w:r>
          </w:p>
        </w:tc>
        <w:tc>
          <w:tcPr>
            <w:tcW w:w="7932" w:type="dxa"/>
          </w:tcPr>
          <w:p w14:paraId="2B7291F7" w14:textId="77777777" w:rsidR="000C1A1F" w:rsidRPr="00976CCC" w:rsidRDefault="000C1A1F" w:rsidP="00FB4773">
            <w:pPr>
              <w:rPr>
                <w:rFonts w:cs="Helvetica Neue LT Std"/>
              </w:rPr>
            </w:pPr>
            <w:r w:rsidRPr="00976CCC">
              <w:rPr>
                <w:lang w:eastAsia="en-AU"/>
              </w:rPr>
              <w:t xml:space="preserve">An institution that has established an ethical review body in accordance with NHMRC, National Statement on Ethical Conduct in Human Research 2007 (National Statement) to conduct the scientific and ethical review of research. </w:t>
            </w:r>
            <w:r w:rsidRPr="00976CCC">
              <w:t>Internationally, HRECs may be referred to as an Institutional Review Board (IRB) and Institutional Ethics Committee (IEC).</w:t>
            </w:r>
          </w:p>
        </w:tc>
      </w:tr>
      <w:tr w:rsidR="000C1A1F" w:rsidRPr="00976CCC" w14:paraId="6A583787" w14:textId="77777777" w:rsidTr="00FB4773">
        <w:tc>
          <w:tcPr>
            <w:tcW w:w="1696" w:type="dxa"/>
          </w:tcPr>
          <w:p w14:paraId="43905A67" w14:textId="6D5F80F5" w:rsidR="000C1A1F" w:rsidRPr="00976CCC" w:rsidRDefault="000C1A1F" w:rsidP="00FB4773">
            <w:r w:rsidRPr="00976CCC">
              <w:rPr>
                <w:bCs/>
                <w:lang w:eastAsia="en-AU"/>
              </w:rPr>
              <w:t>Low</w:t>
            </w:r>
            <w:r w:rsidR="00D33D09">
              <w:rPr>
                <w:bCs/>
                <w:lang w:eastAsia="en-AU"/>
              </w:rPr>
              <w:t>er</w:t>
            </w:r>
            <w:r w:rsidRPr="00976CCC">
              <w:rPr>
                <w:bCs/>
                <w:lang w:eastAsia="en-AU"/>
              </w:rPr>
              <w:t xml:space="preserve"> risk research</w:t>
            </w:r>
          </w:p>
        </w:tc>
        <w:tc>
          <w:tcPr>
            <w:tcW w:w="7932" w:type="dxa"/>
          </w:tcPr>
          <w:p w14:paraId="13E8F052" w14:textId="0D612EE4" w:rsidR="000C1A1F" w:rsidRPr="00976CCC" w:rsidRDefault="00123CE6" w:rsidP="00FB4773">
            <w:pPr>
              <w:rPr>
                <w:rFonts w:cs="Helvetica Neue LT Std"/>
              </w:rPr>
            </w:pPr>
            <w:r>
              <w:rPr>
                <w:lang w:eastAsia="en-AU"/>
              </w:rPr>
              <w:t>Research in which there is no risk of harm, but in which there is a risk of discomfort and in which there may also be a foreseeable burden (low risk research) OR research in which there is no risk or harm or discomfort, but which includes a potential for minor burden or inconvenience (minimal risk research).</w:t>
            </w:r>
          </w:p>
        </w:tc>
      </w:tr>
      <w:tr w:rsidR="000C1A1F" w:rsidRPr="00976CCC" w14:paraId="231AE0C5" w14:textId="77777777" w:rsidTr="00FB4773">
        <w:tc>
          <w:tcPr>
            <w:tcW w:w="1696" w:type="dxa"/>
          </w:tcPr>
          <w:p w14:paraId="0BE5F64A" w14:textId="313068E2" w:rsidR="000C1A1F" w:rsidRPr="00976CCC" w:rsidRDefault="000C1A1F" w:rsidP="00FB4773">
            <w:pPr>
              <w:rPr>
                <w:lang w:eastAsia="en-AU"/>
              </w:rPr>
            </w:pPr>
            <w:r w:rsidRPr="00976CCC">
              <w:rPr>
                <w:lang w:eastAsia="en-AU"/>
              </w:rPr>
              <w:t xml:space="preserve">National Certification Scheme </w:t>
            </w:r>
            <w:r w:rsidR="004E7994">
              <w:rPr>
                <w:lang w:eastAsia="en-AU"/>
              </w:rPr>
              <w:t>of Institutional Processes Related to the Ethical Review of Multi-centre</w:t>
            </w:r>
            <w:r w:rsidR="00F77582">
              <w:rPr>
                <w:lang w:eastAsia="en-AU"/>
              </w:rPr>
              <w:t xml:space="preserve"> Research</w:t>
            </w:r>
          </w:p>
        </w:tc>
        <w:tc>
          <w:tcPr>
            <w:tcW w:w="7932" w:type="dxa"/>
          </w:tcPr>
          <w:p w14:paraId="5E4B1027" w14:textId="77777777" w:rsidR="000C1A1F" w:rsidRDefault="000C1A1F" w:rsidP="00FB4773">
            <w:pPr>
              <w:rPr>
                <w:lang w:eastAsia="en-AU"/>
              </w:rPr>
            </w:pPr>
            <w:r w:rsidRPr="00976CCC">
              <w:rPr>
                <w:lang w:eastAsia="en-AU"/>
              </w:rPr>
              <w:t xml:space="preserve">The certification of HRECs pertains to the certification of their sponsoring institution. To be identified as a ‘Certified Institution’, the institution’s ethical review process has undergone an independent assessment conducted by the NHMRC. Certification is dependent upon a satisfactory demonstration of institutional conformance with specified criteria which, in part, are based on the National Statement - including that the HREC is appropriately constituted, and that its institution’s policies, processes and procedures meet an agreed national set of criteria. </w:t>
            </w:r>
            <w:r w:rsidRPr="007944B8">
              <w:rPr>
                <w:lang w:eastAsia="en-AU"/>
              </w:rPr>
              <w:t xml:space="preserve">A </w:t>
            </w:r>
            <w:r>
              <w:rPr>
                <w:lang w:eastAsia="en-AU"/>
              </w:rPr>
              <w:t>l</w:t>
            </w:r>
            <w:r w:rsidRPr="00137A7B">
              <w:rPr>
                <w:lang w:eastAsia="en-AU"/>
              </w:rPr>
              <w:t>ist of institutions with certified ethics review processes</w:t>
            </w:r>
            <w:r w:rsidRPr="00976CCC">
              <w:rPr>
                <w:i/>
                <w:iCs/>
                <w:lang w:eastAsia="en-AU"/>
              </w:rPr>
              <w:t xml:space="preserve"> </w:t>
            </w:r>
            <w:r w:rsidRPr="00976CCC">
              <w:rPr>
                <w:lang w:eastAsia="en-AU"/>
              </w:rPr>
              <w:t>is available from the NHMRC.</w:t>
            </w:r>
          </w:p>
          <w:p w14:paraId="102629B6" w14:textId="4E9300FD" w:rsidR="00F77582" w:rsidRPr="00F77582" w:rsidRDefault="00F77582" w:rsidP="00FB4773">
            <w:pPr>
              <w:rPr>
                <w:b/>
                <w:bCs/>
              </w:rPr>
            </w:pPr>
            <w:r>
              <w:rPr>
                <w:b/>
                <w:bCs/>
              </w:rPr>
              <w:t>NB: Under review in 2023</w:t>
            </w:r>
          </w:p>
        </w:tc>
      </w:tr>
      <w:tr w:rsidR="000C1A1F" w:rsidRPr="00976CCC" w14:paraId="7A876A72" w14:textId="77777777" w:rsidTr="00FB4773">
        <w:tc>
          <w:tcPr>
            <w:tcW w:w="1696" w:type="dxa"/>
          </w:tcPr>
          <w:p w14:paraId="592D9B24" w14:textId="77777777" w:rsidR="000C1A1F" w:rsidRPr="00976CCC" w:rsidRDefault="000C1A1F" w:rsidP="00FB4773">
            <w:pPr>
              <w:rPr>
                <w:lang w:eastAsia="en-AU"/>
              </w:rPr>
            </w:pPr>
            <w:r w:rsidRPr="00976CCC">
              <w:rPr>
                <w:lang w:eastAsia="en-AU"/>
              </w:rPr>
              <w:t>National Mutual Acceptance (NMA)</w:t>
            </w:r>
          </w:p>
        </w:tc>
        <w:tc>
          <w:tcPr>
            <w:tcW w:w="7932" w:type="dxa"/>
          </w:tcPr>
          <w:p w14:paraId="45A5890C" w14:textId="71E97E9D" w:rsidR="000C1A1F" w:rsidRPr="00976CCC" w:rsidRDefault="000C1A1F" w:rsidP="00FB4773">
            <w:pPr>
              <w:rPr>
                <w:lang w:eastAsia="en-AU"/>
              </w:rPr>
            </w:pPr>
            <w:r w:rsidRPr="00976CCC">
              <w:t xml:space="preserve">The system of single scientific and ethical review of multi-centre human research projects across Australian jurisdictions (public health organisations only) </w:t>
            </w:r>
            <w:r w:rsidRPr="00976CCC">
              <w:rPr>
                <w:shd w:val="clear" w:color="auto" w:fill="FFFFFF"/>
              </w:rPr>
              <w:t>whereby one certified HREC provides the ethical review for a research proposal that is accepted by the other institutions participating in the multi-centre research.</w:t>
            </w:r>
            <w:r w:rsidR="00CC1A73">
              <w:rPr>
                <w:shd w:val="clear" w:color="auto" w:fill="FFFFFF"/>
              </w:rPr>
              <w:t xml:space="preserve"> </w:t>
            </w:r>
            <w:hyperlink r:id="rId9" w:history="1">
              <w:r w:rsidR="00CC1A73">
                <w:rPr>
                  <w:rStyle w:val="Hyperlink"/>
                </w:rPr>
                <w:t>National Mutual Acceptance - Clinical Trials and Research</w:t>
              </w:r>
            </w:hyperlink>
          </w:p>
        </w:tc>
      </w:tr>
      <w:tr w:rsidR="000C1A1F" w:rsidRPr="00976CCC" w14:paraId="30D56EAF" w14:textId="77777777" w:rsidTr="00FB4773">
        <w:tc>
          <w:tcPr>
            <w:tcW w:w="1696" w:type="dxa"/>
          </w:tcPr>
          <w:p w14:paraId="2A9BEEA5" w14:textId="77777777" w:rsidR="000C1A1F" w:rsidRPr="00976CCC" w:rsidRDefault="000C1A1F" w:rsidP="00FB4773">
            <w:pPr>
              <w:rPr>
                <w:bCs/>
              </w:rPr>
            </w:pPr>
            <w:r w:rsidRPr="00976CCC">
              <w:rPr>
                <w:bCs/>
                <w:lang w:eastAsia="en-AU"/>
              </w:rPr>
              <w:t>Non-HREC level alternative</w:t>
            </w:r>
          </w:p>
        </w:tc>
        <w:tc>
          <w:tcPr>
            <w:tcW w:w="7932" w:type="dxa"/>
          </w:tcPr>
          <w:p w14:paraId="3B1F0A28" w14:textId="17EC1A90" w:rsidR="000C1A1F" w:rsidRPr="00976CCC" w:rsidRDefault="000C1A1F" w:rsidP="00FB4773">
            <w:pPr>
              <w:rPr>
                <w:lang w:eastAsia="en-AU"/>
              </w:rPr>
            </w:pPr>
            <w:r w:rsidRPr="00976CCC">
              <w:rPr>
                <w:lang w:eastAsia="en-AU"/>
              </w:rPr>
              <w:t>A person or body (e.g.</w:t>
            </w:r>
            <w:r w:rsidR="00712D11">
              <w:rPr>
                <w:lang w:eastAsia="en-AU"/>
              </w:rPr>
              <w:t>,</w:t>
            </w:r>
            <w:r w:rsidR="009174CF">
              <w:rPr>
                <w:lang w:eastAsia="en-AU"/>
              </w:rPr>
              <w:t xml:space="preserve"> specifically constituted committee,</w:t>
            </w:r>
            <w:r w:rsidRPr="00976CCC">
              <w:rPr>
                <w:lang w:eastAsia="en-AU"/>
              </w:rPr>
              <w:t xml:space="preserve"> subcommittee or delegate) that conducts an ethical review of a research project </w:t>
            </w:r>
            <w:r>
              <w:rPr>
                <w:lang w:eastAsia="en-AU"/>
              </w:rPr>
              <w:t>as</w:t>
            </w:r>
            <w:r w:rsidRPr="00976CCC">
              <w:rPr>
                <w:lang w:eastAsia="en-AU"/>
              </w:rPr>
              <w:t xml:space="preserve"> an alternative to that of a full HREC. </w:t>
            </w:r>
            <w:r w:rsidR="009174CF">
              <w:rPr>
                <w:lang w:eastAsia="en-AU"/>
              </w:rPr>
              <w:t xml:space="preserve">The LRR Ethics Committee </w:t>
            </w:r>
            <w:r w:rsidR="00626CFA">
              <w:rPr>
                <w:lang w:eastAsia="en-AU"/>
              </w:rPr>
              <w:t xml:space="preserve">is </w:t>
            </w:r>
            <w:r w:rsidR="00F42264">
              <w:rPr>
                <w:lang w:eastAsia="en-AU"/>
              </w:rPr>
              <w:t>one such</w:t>
            </w:r>
            <w:r w:rsidR="00626CFA">
              <w:rPr>
                <w:lang w:eastAsia="en-AU"/>
              </w:rPr>
              <w:t xml:space="preserve"> non-HREC level alternative.</w:t>
            </w:r>
          </w:p>
        </w:tc>
      </w:tr>
      <w:tr w:rsidR="000C1A1F" w:rsidRPr="00976CCC" w14:paraId="5FBEF7D3" w14:textId="77777777" w:rsidTr="00FB4773">
        <w:tc>
          <w:tcPr>
            <w:tcW w:w="1696" w:type="dxa"/>
          </w:tcPr>
          <w:p w14:paraId="0703F45D" w14:textId="77777777" w:rsidR="000C1A1F" w:rsidRPr="00976CCC" w:rsidRDefault="000C1A1F" w:rsidP="00FB4773">
            <w:pPr>
              <w:rPr>
                <w:lang w:eastAsia="en-AU"/>
              </w:rPr>
            </w:pPr>
            <w:r w:rsidRPr="00976CCC">
              <w:rPr>
                <w:bCs/>
                <w:lang w:eastAsia="en-AU"/>
              </w:rPr>
              <w:t>Multi-Centre Research</w:t>
            </w:r>
          </w:p>
        </w:tc>
        <w:tc>
          <w:tcPr>
            <w:tcW w:w="7932" w:type="dxa"/>
          </w:tcPr>
          <w:p w14:paraId="3DC23D85" w14:textId="77777777" w:rsidR="000C1A1F" w:rsidRPr="00976CCC" w:rsidRDefault="000C1A1F" w:rsidP="00FB4773">
            <w:pPr>
              <w:rPr>
                <w:lang w:eastAsia="en-AU"/>
              </w:rPr>
            </w:pPr>
            <w:r w:rsidRPr="00976CCC">
              <w:rPr>
                <w:lang w:eastAsia="en-AU"/>
              </w:rPr>
              <w:t xml:space="preserve">Research that is conducted at more than one site within the Australian public health system. </w:t>
            </w:r>
          </w:p>
        </w:tc>
      </w:tr>
      <w:tr w:rsidR="000C1A1F" w:rsidRPr="00976CCC" w14:paraId="2ACF136E" w14:textId="77777777" w:rsidTr="00FB4773">
        <w:tc>
          <w:tcPr>
            <w:tcW w:w="1696" w:type="dxa"/>
          </w:tcPr>
          <w:p w14:paraId="3C3631B2" w14:textId="77777777" w:rsidR="000C1A1F" w:rsidRPr="00976CCC" w:rsidRDefault="000C1A1F" w:rsidP="00FB4773">
            <w:pPr>
              <w:rPr>
                <w:bCs/>
                <w:lang w:eastAsia="en-AU"/>
              </w:rPr>
            </w:pPr>
            <w:r w:rsidRPr="00976CCC">
              <w:rPr>
                <w:bCs/>
              </w:rPr>
              <w:t>Participant Information and Consent Form (PICF)</w:t>
            </w:r>
          </w:p>
        </w:tc>
        <w:tc>
          <w:tcPr>
            <w:tcW w:w="7932" w:type="dxa"/>
          </w:tcPr>
          <w:p w14:paraId="061D3D8E" w14:textId="14977453" w:rsidR="000C1A1F" w:rsidRPr="00976CCC" w:rsidRDefault="008B59C4" w:rsidP="00FB4773">
            <w:pPr>
              <w:rPr>
                <w:lang w:eastAsia="en-AU"/>
              </w:rPr>
            </w:pPr>
            <w:r>
              <w:t>The PICF</w:t>
            </w:r>
            <w:r w:rsidR="00C3138A">
              <w:t xml:space="preserve"> is a fundamental project document in research involving humans. It is designed to communicate information about a research project to potential participants</w:t>
            </w:r>
            <w:r w:rsidR="003D5041">
              <w:t xml:space="preserve">. It outlines the aims and objectives of the study, </w:t>
            </w:r>
            <w:r w:rsidR="00D42B80">
              <w:t>why the study is important</w:t>
            </w:r>
            <w:r w:rsidR="008079D5">
              <w:t xml:space="preserve"> (benefits)</w:t>
            </w:r>
            <w:r w:rsidR="00D42B80">
              <w:t xml:space="preserve">, </w:t>
            </w:r>
            <w:r w:rsidR="003D5041">
              <w:t>what will be required of participants</w:t>
            </w:r>
            <w:r w:rsidR="00D42B80">
              <w:t xml:space="preserve">, </w:t>
            </w:r>
            <w:r w:rsidR="008079D5">
              <w:t>any potential risks/burdens associated with the research</w:t>
            </w:r>
            <w:r w:rsidR="001F7D4E">
              <w:t>,</w:t>
            </w:r>
            <w:r w:rsidR="00CC4594">
              <w:t xml:space="preserve"> the rights of participants, and how information about them will be managed</w:t>
            </w:r>
            <w:r w:rsidR="008079D5">
              <w:t xml:space="preserve">. The PICF </w:t>
            </w:r>
            <w:r w:rsidR="009A7B22">
              <w:t>also provides potential participants with a mechanism by which they can give their consent, if they choose to do so.</w:t>
            </w:r>
          </w:p>
        </w:tc>
      </w:tr>
      <w:tr w:rsidR="000C1A1F" w:rsidRPr="00976CCC" w14:paraId="1D67E2E7" w14:textId="77777777" w:rsidTr="00FB4773">
        <w:tc>
          <w:tcPr>
            <w:tcW w:w="1696" w:type="dxa"/>
          </w:tcPr>
          <w:p w14:paraId="65292831" w14:textId="77777777" w:rsidR="000C1A1F" w:rsidRPr="00976CCC" w:rsidRDefault="000C1A1F" w:rsidP="00FB4773">
            <w:pPr>
              <w:rPr>
                <w:bCs/>
              </w:rPr>
            </w:pPr>
            <w:r w:rsidRPr="00976CCC">
              <w:rPr>
                <w:bCs/>
                <w:lang w:eastAsia="en-AU"/>
              </w:rPr>
              <w:t>Quality Assurance (QA)</w:t>
            </w:r>
            <w:r>
              <w:rPr>
                <w:bCs/>
                <w:lang w:eastAsia="en-AU"/>
              </w:rPr>
              <w:t xml:space="preserve">/ </w:t>
            </w:r>
            <w:r w:rsidRPr="00976CCC">
              <w:rPr>
                <w:bCs/>
                <w:lang w:eastAsia="en-AU"/>
              </w:rPr>
              <w:t xml:space="preserve">Quality Improvement (QI)/ </w:t>
            </w:r>
          </w:p>
        </w:tc>
        <w:tc>
          <w:tcPr>
            <w:tcW w:w="7932" w:type="dxa"/>
          </w:tcPr>
          <w:p w14:paraId="76F7D9B5" w14:textId="77777777" w:rsidR="000C1A1F" w:rsidRPr="00976CCC" w:rsidRDefault="000C1A1F" w:rsidP="00FB4773">
            <w:r w:rsidRPr="00976CCC">
              <w:rPr>
                <w:rFonts w:cs="Helvetica Neue LT Std"/>
              </w:rPr>
              <w:t>An activity where the primary purpose is to monitor or improve the quality of service delivered by an individual or an organisation is a QA</w:t>
            </w:r>
            <w:r>
              <w:rPr>
                <w:rFonts w:cs="Helvetica Neue LT Std"/>
              </w:rPr>
              <w:t>/QI</w:t>
            </w:r>
            <w:r w:rsidRPr="00976CCC">
              <w:rPr>
                <w:rFonts w:cs="Helvetica Neue LT Std"/>
              </w:rPr>
              <w:t xml:space="preserve"> activity. Terms such as ‘peer review’, ‘quality assurance’, ‘quality improvement’, ‘quality activities’, ‘quality studies’ and ‘audit’ are often used interchangeably.</w:t>
            </w:r>
            <w:r w:rsidRPr="00976CCC">
              <w:rPr>
                <w:rStyle w:val="A6"/>
                <w:sz w:val="20"/>
                <w:szCs w:val="20"/>
              </w:rPr>
              <w:t xml:space="preserve"> </w:t>
            </w:r>
          </w:p>
        </w:tc>
      </w:tr>
      <w:tr w:rsidR="000C1A1F" w:rsidRPr="00976CCC" w14:paraId="4438BF4D" w14:textId="77777777" w:rsidTr="00FB4773">
        <w:tc>
          <w:tcPr>
            <w:tcW w:w="1696" w:type="dxa"/>
          </w:tcPr>
          <w:p w14:paraId="35786BFE" w14:textId="77777777" w:rsidR="000C1A1F" w:rsidRPr="00976CCC" w:rsidRDefault="000C1A1F" w:rsidP="00FB4773">
            <w:pPr>
              <w:rPr>
                <w:bCs/>
                <w:lang w:eastAsia="en-AU"/>
              </w:rPr>
            </w:pPr>
            <w:r w:rsidRPr="00976CCC">
              <w:rPr>
                <w:bCs/>
                <w:lang w:eastAsia="en-AU"/>
              </w:rPr>
              <w:t>Research</w:t>
            </w:r>
          </w:p>
        </w:tc>
        <w:tc>
          <w:tcPr>
            <w:tcW w:w="7932" w:type="dxa"/>
          </w:tcPr>
          <w:p w14:paraId="67D3D254" w14:textId="2E154367" w:rsidR="000C1A1F" w:rsidRPr="00976CCC" w:rsidRDefault="0056063F" w:rsidP="00FB4773">
            <w:pPr>
              <w:rPr>
                <w:rFonts w:cs="Helvetica Neue LT Std"/>
              </w:rPr>
            </w:pPr>
            <w:r>
              <w:rPr>
                <w:lang w:eastAsia="en-AU"/>
              </w:rPr>
              <w:t xml:space="preserve">The concept of research is broad and includes the </w:t>
            </w:r>
            <w:r w:rsidR="00D03F54">
              <w:rPr>
                <w:lang w:eastAsia="en-AU"/>
              </w:rPr>
              <w:t>creation</w:t>
            </w:r>
            <w:r>
              <w:rPr>
                <w:lang w:eastAsia="en-AU"/>
              </w:rPr>
              <w:t xml:space="preserve"> of new knowledge and/or the use of existing knowledge in a new and creative way so as to generate new concepts, methodologies, inve</w:t>
            </w:r>
            <w:r w:rsidR="00165CF1">
              <w:rPr>
                <w:lang w:eastAsia="en-AU"/>
              </w:rPr>
              <w:t>ntions and understandings. This could include synthesis and analysis</w:t>
            </w:r>
            <w:r w:rsidR="00A161E8">
              <w:rPr>
                <w:lang w:eastAsia="en-AU"/>
              </w:rPr>
              <w:t xml:space="preserve"> of previous research to the extent that it is new and creative</w:t>
            </w:r>
            <w:r w:rsidR="000C1A1F" w:rsidRPr="00976CCC">
              <w:rPr>
                <w:lang w:eastAsia="en-AU"/>
              </w:rPr>
              <w:t xml:space="preserve"> (</w:t>
            </w:r>
            <w:r w:rsidR="000C1A1F" w:rsidRPr="00976CCC">
              <w:rPr>
                <w:i/>
                <w:lang w:eastAsia="en-AU"/>
              </w:rPr>
              <w:t xml:space="preserve">Australian Code for the Responsible Conduct for Research, </w:t>
            </w:r>
            <w:r w:rsidR="00A161E8">
              <w:rPr>
                <w:i/>
                <w:lang w:eastAsia="en-AU"/>
              </w:rPr>
              <w:t>2018</w:t>
            </w:r>
            <w:r w:rsidR="000C1A1F" w:rsidRPr="00976CCC">
              <w:rPr>
                <w:lang w:eastAsia="en-AU"/>
              </w:rPr>
              <w:t xml:space="preserve">). </w:t>
            </w:r>
          </w:p>
        </w:tc>
      </w:tr>
      <w:tr w:rsidR="000C1A1F" w:rsidRPr="00976CCC" w14:paraId="338DA4C3" w14:textId="77777777" w:rsidTr="00FB4773">
        <w:tc>
          <w:tcPr>
            <w:tcW w:w="1696" w:type="dxa"/>
          </w:tcPr>
          <w:p w14:paraId="500FBE32" w14:textId="77777777" w:rsidR="000C1A1F" w:rsidRPr="00976CCC" w:rsidRDefault="000C1A1F" w:rsidP="00FB4773">
            <w:pPr>
              <w:rPr>
                <w:lang w:eastAsia="en-AU"/>
              </w:rPr>
            </w:pPr>
            <w:r w:rsidRPr="00976CCC">
              <w:rPr>
                <w:bCs/>
                <w:lang w:eastAsia="en-AU"/>
              </w:rPr>
              <w:t>Single-Centre Trial</w:t>
            </w:r>
          </w:p>
        </w:tc>
        <w:tc>
          <w:tcPr>
            <w:tcW w:w="7932" w:type="dxa"/>
          </w:tcPr>
          <w:p w14:paraId="07005A1C" w14:textId="7266BE3E" w:rsidR="000C1A1F" w:rsidRPr="00976CCC" w:rsidRDefault="000C1A1F" w:rsidP="00FB4773">
            <w:pPr>
              <w:rPr>
                <w:lang w:eastAsia="en-AU"/>
              </w:rPr>
            </w:pPr>
            <w:r w:rsidRPr="00976CCC">
              <w:rPr>
                <w:lang w:eastAsia="en-AU"/>
              </w:rPr>
              <w:t>Research that is conducted at one site only (</w:t>
            </w:r>
            <w:r w:rsidR="00B76178" w:rsidRPr="00976CCC">
              <w:rPr>
                <w:lang w:eastAsia="en-AU"/>
              </w:rPr>
              <w:t>i.e.,</w:t>
            </w:r>
            <w:r w:rsidRPr="00976CCC">
              <w:rPr>
                <w:lang w:eastAsia="en-AU"/>
              </w:rPr>
              <w:t xml:space="preserve"> single-site research). </w:t>
            </w:r>
          </w:p>
        </w:tc>
      </w:tr>
      <w:tr w:rsidR="000C1A1F" w:rsidRPr="00976CCC" w14:paraId="7D67B553" w14:textId="77777777" w:rsidTr="00FB4773">
        <w:tc>
          <w:tcPr>
            <w:tcW w:w="1696" w:type="dxa"/>
          </w:tcPr>
          <w:p w14:paraId="5BF69658" w14:textId="73A71480" w:rsidR="000C1A1F" w:rsidRPr="00976CCC" w:rsidRDefault="000C1A1F" w:rsidP="00FB4773">
            <w:pPr>
              <w:rPr>
                <w:bCs/>
                <w:lang w:eastAsia="en-AU"/>
              </w:rPr>
            </w:pPr>
            <w:r w:rsidRPr="00976CCC">
              <w:rPr>
                <w:bCs/>
                <w:lang w:eastAsia="en-AU"/>
              </w:rPr>
              <w:t>Single Ethic</w:t>
            </w:r>
            <w:r w:rsidR="00B76178">
              <w:rPr>
                <w:bCs/>
                <w:lang w:eastAsia="en-AU"/>
              </w:rPr>
              <w:t>s</w:t>
            </w:r>
            <w:r w:rsidRPr="00976CCC">
              <w:rPr>
                <w:bCs/>
                <w:lang w:eastAsia="en-AU"/>
              </w:rPr>
              <w:t xml:space="preserve"> Review</w:t>
            </w:r>
          </w:p>
        </w:tc>
        <w:tc>
          <w:tcPr>
            <w:tcW w:w="7932" w:type="dxa"/>
          </w:tcPr>
          <w:p w14:paraId="1DF28F14" w14:textId="676C9D49" w:rsidR="000C1A1F" w:rsidRPr="00976CCC" w:rsidRDefault="000C1A1F" w:rsidP="00FB4773">
            <w:pPr>
              <w:rPr>
                <w:lang w:eastAsia="en-AU"/>
              </w:rPr>
            </w:pPr>
            <w:r w:rsidRPr="00976CCC">
              <w:rPr>
                <w:shd w:val="clear" w:color="auto" w:fill="FFFFFF"/>
              </w:rPr>
              <w:t>A process whereby one certified HREC provides the ethic</w:t>
            </w:r>
            <w:r w:rsidR="002F1532">
              <w:rPr>
                <w:shd w:val="clear" w:color="auto" w:fill="FFFFFF"/>
              </w:rPr>
              <w:t>s</w:t>
            </w:r>
            <w:r w:rsidRPr="00976CCC">
              <w:rPr>
                <w:shd w:val="clear" w:color="auto" w:fill="FFFFFF"/>
              </w:rPr>
              <w:t xml:space="preserve"> review for a research proposal that is accepted by other institutions participating in the multi-centre research. See also N</w:t>
            </w:r>
            <w:r>
              <w:rPr>
                <w:shd w:val="clear" w:color="auto" w:fill="FFFFFF"/>
              </w:rPr>
              <w:t>ational Mutual Acceptance</w:t>
            </w:r>
            <w:r w:rsidRPr="00976CCC">
              <w:rPr>
                <w:shd w:val="clear" w:color="auto" w:fill="FFFFFF"/>
              </w:rPr>
              <w:t>.</w:t>
            </w:r>
          </w:p>
        </w:tc>
      </w:tr>
      <w:tr w:rsidR="000C1A1F" w:rsidRPr="00976CCC" w14:paraId="7450D23A" w14:textId="77777777" w:rsidTr="00FB4773">
        <w:tc>
          <w:tcPr>
            <w:tcW w:w="1696" w:type="dxa"/>
          </w:tcPr>
          <w:p w14:paraId="0EA420CD" w14:textId="77777777" w:rsidR="000C1A1F" w:rsidRPr="00976CCC" w:rsidRDefault="000C1A1F" w:rsidP="00FB4773">
            <w:pPr>
              <w:rPr>
                <w:bCs/>
                <w:lang w:eastAsia="en-AU"/>
              </w:rPr>
            </w:pPr>
            <w:r w:rsidRPr="00976CCC">
              <w:rPr>
                <w:bCs/>
                <w:lang w:eastAsia="en-AU"/>
              </w:rPr>
              <w:t>Site (institution)</w:t>
            </w:r>
          </w:p>
        </w:tc>
        <w:tc>
          <w:tcPr>
            <w:tcW w:w="7932" w:type="dxa"/>
          </w:tcPr>
          <w:p w14:paraId="498AFE76" w14:textId="77777777" w:rsidR="000C1A1F" w:rsidRPr="00976CCC" w:rsidRDefault="000C1A1F" w:rsidP="00FB4773">
            <w:pPr>
              <w:rPr>
                <w:lang w:eastAsia="en-AU"/>
              </w:rPr>
            </w:pPr>
            <w:r w:rsidRPr="00976CCC">
              <w:rPr>
                <w:lang w:eastAsia="en-AU"/>
              </w:rPr>
              <w:t>Any public or private entity or medical facility where research is conducted.</w:t>
            </w:r>
          </w:p>
        </w:tc>
      </w:tr>
      <w:tr w:rsidR="000C1A1F" w:rsidRPr="00976CCC" w14:paraId="33734689" w14:textId="77777777" w:rsidTr="00FB4773">
        <w:tc>
          <w:tcPr>
            <w:tcW w:w="1696" w:type="dxa"/>
          </w:tcPr>
          <w:p w14:paraId="5B9DE159" w14:textId="77777777" w:rsidR="000C1A1F" w:rsidRPr="00976CCC" w:rsidRDefault="000C1A1F" w:rsidP="00FB4773">
            <w:pPr>
              <w:rPr>
                <w:lang w:eastAsia="en-AU"/>
              </w:rPr>
            </w:pPr>
            <w:r w:rsidRPr="00976CCC">
              <w:rPr>
                <w:bCs/>
                <w:lang w:eastAsia="en-AU"/>
              </w:rPr>
              <w:t>Site-Specific Assessment (SSA)</w:t>
            </w:r>
          </w:p>
        </w:tc>
        <w:tc>
          <w:tcPr>
            <w:tcW w:w="7932" w:type="dxa"/>
          </w:tcPr>
          <w:p w14:paraId="52DAEAEC" w14:textId="77777777" w:rsidR="000C1A1F" w:rsidRPr="00976CCC" w:rsidRDefault="000C1A1F" w:rsidP="00FB4773">
            <w:pPr>
              <w:rPr>
                <w:lang w:eastAsia="en-AU"/>
              </w:rPr>
            </w:pPr>
            <w:r w:rsidRPr="00976CCC">
              <w:rPr>
                <w:lang w:eastAsia="en-AU"/>
              </w:rPr>
              <w:t>A mechanism used by the health service to ensure that the proposed research project complies with governance requirements, and to consider whether the research should be conducted and supported at the proposed site.</w:t>
            </w:r>
          </w:p>
        </w:tc>
      </w:tr>
      <w:tr w:rsidR="000C1A1F" w:rsidRPr="00976CCC" w14:paraId="6F23668C" w14:textId="77777777" w:rsidTr="00FB4773">
        <w:tc>
          <w:tcPr>
            <w:tcW w:w="1696" w:type="dxa"/>
          </w:tcPr>
          <w:p w14:paraId="6865D7B3" w14:textId="77777777" w:rsidR="000C1A1F" w:rsidRPr="00976CCC" w:rsidRDefault="000C1A1F" w:rsidP="00FB4773">
            <w:pPr>
              <w:rPr>
                <w:lang w:eastAsia="en-AU"/>
              </w:rPr>
            </w:pPr>
            <w:r w:rsidRPr="00976CCC">
              <w:rPr>
                <w:lang w:eastAsia="en-AU"/>
              </w:rPr>
              <w:t>Site Assessment</w:t>
            </w:r>
          </w:p>
        </w:tc>
        <w:tc>
          <w:tcPr>
            <w:tcW w:w="7932" w:type="dxa"/>
          </w:tcPr>
          <w:p w14:paraId="2610D761" w14:textId="6BCC08DE" w:rsidR="000C1A1F" w:rsidRPr="00976CCC" w:rsidRDefault="000C1A1F" w:rsidP="00FB4773">
            <w:pPr>
              <w:rPr>
                <w:lang w:eastAsia="en-AU"/>
              </w:rPr>
            </w:pPr>
            <w:r w:rsidRPr="00976CCC">
              <w:t xml:space="preserve">A process that assesses research against institutional </w:t>
            </w:r>
            <w:r w:rsidR="00605200">
              <w:t xml:space="preserve">capacity, </w:t>
            </w:r>
            <w:r w:rsidRPr="00976CCC">
              <w:t>requirements</w:t>
            </w:r>
            <w:r w:rsidR="00D970B0">
              <w:t>,</w:t>
            </w:r>
            <w:r w:rsidRPr="00976CCC">
              <w:t xml:space="preserve"> and strategies and any applicable jurisdictional requirements (including legal obligations). The outcome of a site assessment is site authorisation: a determination by an organisation that a research project to be conducted at one or more of its sites or under its auspices satisfies organisational requirements and may commence at the site/s over which it exercises its authority.</w:t>
            </w:r>
          </w:p>
        </w:tc>
      </w:tr>
      <w:tr w:rsidR="00FC67FE" w:rsidRPr="00976CCC" w14:paraId="218ABE73" w14:textId="77777777" w:rsidTr="00FB4773">
        <w:tc>
          <w:tcPr>
            <w:tcW w:w="1696" w:type="dxa"/>
          </w:tcPr>
          <w:p w14:paraId="37B7E4B2" w14:textId="77777777" w:rsidR="00FC67FE" w:rsidRPr="00976CCC" w:rsidRDefault="00FC67FE" w:rsidP="00FB4773">
            <w:pPr>
              <w:rPr>
                <w:lang w:eastAsia="en-AU"/>
              </w:rPr>
            </w:pPr>
            <w:r>
              <w:rPr>
                <w:lang w:eastAsia="en-AU"/>
              </w:rPr>
              <w:t>Site Principal Investigator</w:t>
            </w:r>
          </w:p>
        </w:tc>
        <w:tc>
          <w:tcPr>
            <w:tcW w:w="7932" w:type="dxa"/>
          </w:tcPr>
          <w:p w14:paraId="24CD4A8C" w14:textId="77777777" w:rsidR="00FC67FE" w:rsidRDefault="00FC67FE" w:rsidP="00FB4773">
            <w:r>
              <w:t>The site principal investigator is the person responsible, individually or as a leader of the clinical trial or research team at a site, for the conduct of a clinical trial or research at that site. The site principal investigator ensures clinical trials or research undertaken at a specific research site is in accordance with the approved protocols.</w:t>
            </w:r>
          </w:p>
          <w:p w14:paraId="72B19414" w14:textId="77777777" w:rsidR="00FC67FE" w:rsidRPr="00976CCC" w:rsidRDefault="00813F21" w:rsidP="00FB4773">
            <w:hyperlink r:id="rId10" w:history="1">
              <w:r w:rsidR="00FC67FE">
                <w:rPr>
                  <w:rStyle w:val="Hyperlink"/>
                </w:rPr>
                <w:t>Fact sheet 8: National Clinical Trials Governance Framework – Roles and functions for site principal investigator (safetyandquality.gov.au)</w:t>
              </w:r>
            </w:hyperlink>
          </w:p>
        </w:tc>
      </w:tr>
    </w:tbl>
    <w:p w14:paraId="77A61FFB" w14:textId="77777777" w:rsidR="00D93DBF" w:rsidRPr="00FA3C7F" w:rsidRDefault="00D93DBF" w:rsidP="007808B8">
      <w:pPr>
        <w:pStyle w:val="BulletedListLevel1"/>
        <w:numPr>
          <w:ilvl w:val="0"/>
          <w:numId w:val="0"/>
        </w:numPr>
      </w:pPr>
    </w:p>
    <w:p w14:paraId="3B25DA18" w14:textId="77777777" w:rsidR="00D93DBF" w:rsidRDefault="00E14AAC" w:rsidP="00D93DBF">
      <w:pPr>
        <w:pStyle w:val="Heading3"/>
        <w:keepLines/>
        <w:rPr>
          <w:lang w:eastAsia="en-AU"/>
        </w:rPr>
      </w:pPr>
      <w:r>
        <w:rPr>
          <w:lang w:eastAsia="en-AU"/>
        </w:rPr>
        <w:t xml:space="preserve">Related Documents/Legislation </w:t>
      </w:r>
    </w:p>
    <w:p w14:paraId="4428793E" w14:textId="4190E9A4" w:rsidR="001F6DB9" w:rsidRPr="00FC1C07" w:rsidRDefault="001F6DB9" w:rsidP="002367E1">
      <w:r>
        <w:t xml:space="preserve">In addition to the documents listed below, </w:t>
      </w:r>
      <w:r w:rsidR="00005B88">
        <w:t>researchers should c</w:t>
      </w:r>
      <w:r>
        <w:t xml:space="preserve">onsult the Research Ethics Office website for advice and any forms required for submissions. The DoH uses REGIS for all low risk research, QI and audit projects. For advice on the most appropriate HREC to which to submit any more than low risk projects, contact the Research Ethics Office at </w:t>
      </w:r>
      <w:hyperlink r:id="rId11" w:history="1">
        <w:r w:rsidRPr="00371A2A">
          <w:rPr>
            <w:rStyle w:val="Hyperlink"/>
          </w:rPr>
          <w:t>research.ethics@health.tas.gov.au</w:t>
        </w:r>
      </w:hyperlink>
      <w:r>
        <w:t xml:space="preserve"> or on (03) 6165 4004, or the Research Governance Office. </w:t>
      </w:r>
    </w:p>
    <w:p w14:paraId="3A70FD59" w14:textId="77777777" w:rsidR="00BD5D5B" w:rsidRDefault="00BD5D5B" w:rsidP="002367E1">
      <w:pPr>
        <w:pStyle w:val="Heading3"/>
      </w:pPr>
      <w:r w:rsidRPr="00FC1C07">
        <w:t>INTERNAL DOCUMENTS</w:t>
      </w:r>
    </w:p>
    <w:p w14:paraId="7720DDBB" w14:textId="77777777" w:rsidR="00EF574E" w:rsidRDefault="00EF574E" w:rsidP="002367E1">
      <w:r>
        <w:t xml:space="preserve">Research Governance Policy Framework(P20/299) </w:t>
      </w:r>
    </w:p>
    <w:p w14:paraId="5D4A6781" w14:textId="3D8A2100" w:rsidR="00EF574E" w:rsidRDefault="00EF574E" w:rsidP="002367E1">
      <w:r>
        <w:t>Low Risk Research Procedure (P22/332)</w:t>
      </w:r>
    </w:p>
    <w:p w14:paraId="1BB4071E" w14:textId="0E3889FB" w:rsidR="00BD5D5B" w:rsidRDefault="00BD5D5B" w:rsidP="002367E1">
      <w:r>
        <w:t>SOP002</w:t>
      </w:r>
      <w:r w:rsidR="0023041E">
        <w:t>_ETH</w:t>
      </w:r>
      <w:r>
        <w:t xml:space="preserve"> </w:t>
      </w:r>
      <w:r>
        <w:tab/>
      </w:r>
      <w:r>
        <w:tab/>
        <w:t>Ethical Review Administration</w:t>
      </w:r>
    </w:p>
    <w:p w14:paraId="6481BDD2" w14:textId="524D077E" w:rsidR="00BD5D5B" w:rsidRDefault="00BD5D5B" w:rsidP="002367E1">
      <w:r>
        <w:t>SOP003</w:t>
      </w:r>
      <w:r w:rsidR="0023041E">
        <w:t>_ETH</w:t>
      </w:r>
      <w:r>
        <w:tab/>
      </w:r>
      <w:r>
        <w:tab/>
        <w:t>Handling Conflict of Interest in Ethical Review of Research</w:t>
      </w:r>
    </w:p>
    <w:p w14:paraId="605C1CC5" w14:textId="007512D4" w:rsidR="00BD5D5B" w:rsidRDefault="00BD5D5B" w:rsidP="002367E1">
      <w:proofErr w:type="spellStart"/>
      <w:r>
        <w:t>ToR</w:t>
      </w:r>
      <w:proofErr w:type="spellEnd"/>
      <w:r>
        <w:tab/>
      </w:r>
      <w:r>
        <w:tab/>
      </w:r>
      <w:r>
        <w:tab/>
        <w:t>Low Risk Ethics Committee Terms of Reference</w:t>
      </w:r>
    </w:p>
    <w:p w14:paraId="5292CFB1" w14:textId="77777777" w:rsidR="00BD5D5B" w:rsidRDefault="00BD5D5B" w:rsidP="002367E1">
      <w:pPr>
        <w:pStyle w:val="Heading3"/>
      </w:pPr>
      <w:r>
        <w:t>EX</w:t>
      </w:r>
      <w:r w:rsidRPr="00FC1C07">
        <w:t>TERNAL DOCUMENTS</w:t>
      </w:r>
    </w:p>
    <w:p w14:paraId="65369649" w14:textId="362FF64E" w:rsidR="00BD5D5B" w:rsidRDefault="00BD5D5B" w:rsidP="002367E1">
      <w:r>
        <w:t>National Statement on the Ethical Conduct in Human Research (20</w:t>
      </w:r>
      <w:r w:rsidR="00D37E45">
        <w:t>23, and as amended</w:t>
      </w:r>
      <w:r>
        <w:t>)</w:t>
      </w:r>
    </w:p>
    <w:p w14:paraId="7A305851" w14:textId="77777777" w:rsidR="00BD5D5B" w:rsidRDefault="00BD5D5B" w:rsidP="002367E1">
      <w:r>
        <w:t xml:space="preserve">NHMRC Guidelines approved under s95a of the </w:t>
      </w:r>
      <w:r>
        <w:rPr>
          <w:i/>
          <w:iCs/>
        </w:rPr>
        <w:t xml:space="preserve">Privacy Act 1988 </w:t>
      </w:r>
      <w:r>
        <w:t>(2015)</w:t>
      </w:r>
    </w:p>
    <w:p w14:paraId="2BB9078D" w14:textId="77777777" w:rsidR="00BD5D5B" w:rsidRDefault="00BD5D5B" w:rsidP="002367E1">
      <w:r>
        <w:t>Personal Information Protection Act 2004</w:t>
      </w:r>
    </w:p>
    <w:p w14:paraId="746363E4" w14:textId="77777777" w:rsidR="00BD5D5B" w:rsidRPr="006B6E3D" w:rsidRDefault="00BD5D5B" w:rsidP="002367E1">
      <w:r>
        <w:t>Australian Code for the Responsible Conduct of Research, 2018</w:t>
      </w:r>
    </w:p>
    <w:p w14:paraId="23FC2076" w14:textId="77777777" w:rsidR="00BD5D5B" w:rsidRPr="002367E1" w:rsidRDefault="00BD5D5B" w:rsidP="002367E1">
      <w:pPr>
        <w:pStyle w:val="Heading3"/>
      </w:pPr>
      <w:r w:rsidRPr="002367E1">
        <w:t>FURTHER INFORMATION</w:t>
      </w:r>
    </w:p>
    <w:p w14:paraId="1A760172" w14:textId="77777777" w:rsidR="00BD5D5B" w:rsidRPr="00D26F9A" w:rsidRDefault="00BD5D5B" w:rsidP="002367E1">
      <w:r>
        <w:t xml:space="preserve">For enquiries related to this Procedure please email </w:t>
      </w:r>
      <w:hyperlink r:id="rId12" w:history="1">
        <w:r w:rsidRPr="00D546F1">
          <w:rPr>
            <w:rStyle w:val="Hyperlink"/>
          </w:rPr>
          <w:t>research.ethics@health.tas.gov.au</w:t>
        </w:r>
      </w:hyperlink>
    </w:p>
    <w:p w14:paraId="622FB097" w14:textId="77777777" w:rsidR="003467F4" w:rsidRPr="003467F4" w:rsidRDefault="003467F4" w:rsidP="00D37E45">
      <w:pPr>
        <w:pStyle w:val="NumberedList"/>
        <w:tabs>
          <w:tab w:val="clear" w:pos="567"/>
        </w:tabs>
        <w:ind w:left="0" w:firstLine="0"/>
      </w:pPr>
    </w:p>
    <w:sectPr w:rsidR="003467F4" w:rsidRPr="003467F4" w:rsidSect="00F26637">
      <w:headerReference w:type="default" r:id="rId13"/>
      <w:footerReference w:type="default" r:id="rId14"/>
      <w:type w:val="continuous"/>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A029" w14:textId="77777777" w:rsidR="000163D7" w:rsidRDefault="000163D7">
      <w:r>
        <w:separator/>
      </w:r>
    </w:p>
  </w:endnote>
  <w:endnote w:type="continuationSeparator" w:id="0">
    <w:p w14:paraId="45990017" w14:textId="77777777" w:rsidR="000163D7" w:rsidRDefault="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F890"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71D97644"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D82" w14:textId="77777777" w:rsidR="000163D7" w:rsidRDefault="000163D7">
      <w:r>
        <w:separator/>
      </w:r>
    </w:p>
  </w:footnote>
  <w:footnote w:type="continuationSeparator" w:id="0">
    <w:p w14:paraId="4C31AE7D" w14:textId="77777777" w:rsidR="000163D7" w:rsidRDefault="0001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787" w14:textId="77777777" w:rsidR="004E1397" w:rsidRPr="00A962DC" w:rsidRDefault="004E1397" w:rsidP="00A2494C">
    <w:pPr>
      <w:pStyle w:val="Header"/>
      <w:tabs>
        <w:tab w:val="clear" w:pos="567"/>
        <w:tab w:val="clear" w:pos="8306"/>
        <w:tab w:val="left" w:pos="0"/>
        <w:tab w:val="right" w:pos="96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CE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E0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52F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26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40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A3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E09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8A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48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01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C7D81"/>
    <w:multiLevelType w:val="hybridMultilevel"/>
    <w:tmpl w:val="60F29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8025FE"/>
    <w:multiLevelType w:val="hybridMultilevel"/>
    <w:tmpl w:val="10C48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7347859"/>
    <w:multiLevelType w:val="hybridMultilevel"/>
    <w:tmpl w:val="9BC0C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84A309F"/>
    <w:multiLevelType w:val="hybridMultilevel"/>
    <w:tmpl w:val="2200B8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09233F27"/>
    <w:multiLevelType w:val="hybridMultilevel"/>
    <w:tmpl w:val="190AF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C70C4B"/>
    <w:multiLevelType w:val="hybridMultilevel"/>
    <w:tmpl w:val="A5F8AC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5743D8F"/>
    <w:multiLevelType w:val="multilevel"/>
    <w:tmpl w:val="98A8DCFA"/>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A9902A2"/>
    <w:multiLevelType w:val="hybridMultilevel"/>
    <w:tmpl w:val="4940960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9" w15:restartNumberingAfterBreak="0">
    <w:nsid w:val="1D9C19D8"/>
    <w:multiLevelType w:val="hybridMultilevel"/>
    <w:tmpl w:val="D7A6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EE5DFA"/>
    <w:multiLevelType w:val="multilevel"/>
    <w:tmpl w:val="C85CF318"/>
    <w:lvl w:ilvl="0">
      <w:start w:val="1"/>
      <w:numFmt w:val="decimal"/>
      <w:lvlText w:val="%1)"/>
      <w:lvlJc w:val="left"/>
      <w:pPr>
        <w:ind w:left="360" w:hanging="360"/>
      </w:pPr>
      <w:rPr>
        <w:rFonts w:hint="default"/>
        <w:b/>
        <w:color w:val="4F81BD" w:themeColor="accent1"/>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4D5D13"/>
    <w:multiLevelType w:val="multilevel"/>
    <w:tmpl w:val="66D431AE"/>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B48D1"/>
    <w:multiLevelType w:val="hybridMultilevel"/>
    <w:tmpl w:val="70481C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43A01C88"/>
    <w:multiLevelType w:val="hybridMultilevel"/>
    <w:tmpl w:val="7D36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35FE9"/>
    <w:multiLevelType w:val="hybridMultilevel"/>
    <w:tmpl w:val="81A03BC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7" w15:restartNumberingAfterBreak="0">
    <w:nsid w:val="684B411D"/>
    <w:multiLevelType w:val="hybridMultilevel"/>
    <w:tmpl w:val="48F688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9" w15:restartNumberingAfterBreak="0">
    <w:nsid w:val="7255751E"/>
    <w:multiLevelType w:val="multilevel"/>
    <w:tmpl w:val="0C09001D"/>
    <w:lvl w:ilvl="0">
      <w:start w:val="1"/>
      <w:numFmt w:val="decimal"/>
      <w:lvlText w:val="%1)"/>
      <w:lvlJc w:val="left"/>
      <w:pPr>
        <w:ind w:left="360" w:hanging="360"/>
      </w:pPr>
      <w:rPr>
        <w:rFonts w:hint="default"/>
        <w:b/>
        <w:color w:val="4F81BD" w:themeColor="accent1"/>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C248D9"/>
    <w:multiLevelType w:val="hybridMultilevel"/>
    <w:tmpl w:val="A5AEA8A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75202476">
    <w:abstractNumId w:val="31"/>
  </w:num>
  <w:num w:numId="2" w16cid:durableId="1986540569">
    <w:abstractNumId w:val="16"/>
  </w:num>
  <w:num w:numId="3" w16cid:durableId="976689763">
    <w:abstractNumId w:val="15"/>
  </w:num>
  <w:num w:numId="4" w16cid:durableId="1156456195">
    <w:abstractNumId w:val="27"/>
  </w:num>
  <w:num w:numId="5" w16cid:durableId="1940793877">
    <w:abstractNumId w:val="9"/>
  </w:num>
  <w:num w:numId="6" w16cid:durableId="1453867833">
    <w:abstractNumId w:val="7"/>
  </w:num>
  <w:num w:numId="7" w16cid:durableId="342055833">
    <w:abstractNumId w:val="6"/>
  </w:num>
  <w:num w:numId="8" w16cid:durableId="1800224342">
    <w:abstractNumId w:val="5"/>
  </w:num>
  <w:num w:numId="9" w16cid:durableId="1171215621">
    <w:abstractNumId w:val="4"/>
  </w:num>
  <w:num w:numId="10" w16cid:durableId="2097046508">
    <w:abstractNumId w:val="26"/>
  </w:num>
  <w:num w:numId="11" w16cid:durableId="1107893361">
    <w:abstractNumId w:val="16"/>
  </w:num>
  <w:num w:numId="12" w16cid:durableId="1531458703">
    <w:abstractNumId w:val="18"/>
  </w:num>
  <w:num w:numId="13" w16cid:durableId="136730325">
    <w:abstractNumId w:val="28"/>
  </w:num>
  <w:num w:numId="14" w16cid:durableId="354042755">
    <w:abstractNumId w:val="31"/>
  </w:num>
  <w:num w:numId="15" w16cid:durableId="778598174">
    <w:abstractNumId w:val="22"/>
  </w:num>
  <w:num w:numId="16" w16cid:durableId="1299336839">
    <w:abstractNumId w:val="16"/>
  </w:num>
  <w:num w:numId="17" w16cid:durableId="1605528682">
    <w:abstractNumId w:val="14"/>
  </w:num>
  <w:num w:numId="18" w16cid:durableId="1611428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1370632">
    <w:abstractNumId w:val="8"/>
  </w:num>
  <w:num w:numId="20" w16cid:durableId="136385504">
    <w:abstractNumId w:val="3"/>
  </w:num>
  <w:num w:numId="21" w16cid:durableId="1942293860">
    <w:abstractNumId w:val="2"/>
  </w:num>
  <w:num w:numId="22" w16cid:durableId="1815876113">
    <w:abstractNumId w:val="1"/>
  </w:num>
  <w:num w:numId="23" w16cid:durableId="457845944">
    <w:abstractNumId w:val="0"/>
  </w:num>
  <w:num w:numId="24" w16cid:durableId="1266158804">
    <w:abstractNumId w:val="16"/>
  </w:num>
  <w:num w:numId="25" w16cid:durableId="1326275810">
    <w:abstractNumId w:val="16"/>
  </w:num>
  <w:num w:numId="26" w16cid:durableId="1486556645">
    <w:abstractNumId w:val="11"/>
  </w:num>
  <w:num w:numId="27" w16cid:durableId="726533928">
    <w:abstractNumId w:val="24"/>
  </w:num>
  <w:num w:numId="28" w16cid:durableId="582642581">
    <w:abstractNumId w:val="10"/>
  </w:num>
  <w:num w:numId="29" w16cid:durableId="1425152755">
    <w:abstractNumId w:val="19"/>
  </w:num>
  <w:num w:numId="30" w16cid:durableId="858466436">
    <w:abstractNumId w:val="20"/>
  </w:num>
  <w:num w:numId="31" w16cid:durableId="220093990">
    <w:abstractNumId w:val="12"/>
  </w:num>
  <w:num w:numId="32" w16cid:durableId="578638746">
    <w:abstractNumId w:val="13"/>
  </w:num>
  <w:num w:numId="33" w16cid:durableId="96416553">
    <w:abstractNumId w:val="23"/>
  </w:num>
  <w:num w:numId="34" w16cid:durableId="1839465733">
    <w:abstractNumId w:val="17"/>
  </w:num>
  <w:num w:numId="35" w16cid:durableId="1148592137">
    <w:abstractNumId w:val="25"/>
  </w:num>
  <w:num w:numId="36" w16cid:durableId="1434858099">
    <w:abstractNumId w:val="21"/>
  </w:num>
  <w:num w:numId="37" w16cid:durableId="1185050561">
    <w:abstractNumId w:val="29"/>
  </w:num>
  <w:num w:numId="38" w16cid:durableId="1432555445">
    <w:abstractNumId w:val="16"/>
  </w:num>
  <w:num w:numId="39" w16cid:durableId="2145925780">
    <w:abstractNumId w:val="16"/>
  </w:num>
  <w:num w:numId="40" w16cid:durableId="17515359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D7"/>
    <w:rsid w:val="00004321"/>
    <w:rsid w:val="00005B88"/>
    <w:rsid w:val="00007800"/>
    <w:rsid w:val="00012F5A"/>
    <w:rsid w:val="000163D7"/>
    <w:rsid w:val="0001749C"/>
    <w:rsid w:val="00020755"/>
    <w:rsid w:val="00025495"/>
    <w:rsid w:val="00030F21"/>
    <w:rsid w:val="00031AA4"/>
    <w:rsid w:val="00037B7E"/>
    <w:rsid w:val="00040B14"/>
    <w:rsid w:val="000416C2"/>
    <w:rsid w:val="0005163A"/>
    <w:rsid w:val="000556EC"/>
    <w:rsid w:val="00057756"/>
    <w:rsid w:val="00061EC2"/>
    <w:rsid w:val="00064136"/>
    <w:rsid w:val="0006495E"/>
    <w:rsid w:val="00066114"/>
    <w:rsid w:val="000825EB"/>
    <w:rsid w:val="00083BA8"/>
    <w:rsid w:val="0009663C"/>
    <w:rsid w:val="000A44FD"/>
    <w:rsid w:val="000A5487"/>
    <w:rsid w:val="000A65E2"/>
    <w:rsid w:val="000A68F7"/>
    <w:rsid w:val="000B29D1"/>
    <w:rsid w:val="000B342E"/>
    <w:rsid w:val="000C1A1F"/>
    <w:rsid w:val="000C2DBA"/>
    <w:rsid w:val="000C5AB9"/>
    <w:rsid w:val="000D108E"/>
    <w:rsid w:val="000D6AD9"/>
    <w:rsid w:val="000E03C6"/>
    <w:rsid w:val="000E0A45"/>
    <w:rsid w:val="000E0F17"/>
    <w:rsid w:val="000E5067"/>
    <w:rsid w:val="000E5AB2"/>
    <w:rsid w:val="000F3CE6"/>
    <w:rsid w:val="000F3DFD"/>
    <w:rsid w:val="000F4710"/>
    <w:rsid w:val="000F5191"/>
    <w:rsid w:val="00103605"/>
    <w:rsid w:val="00117ED9"/>
    <w:rsid w:val="0012241C"/>
    <w:rsid w:val="00122720"/>
    <w:rsid w:val="00123301"/>
    <w:rsid w:val="00123CE6"/>
    <w:rsid w:val="00127853"/>
    <w:rsid w:val="001278BB"/>
    <w:rsid w:val="00127DA1"/>
    <w:rsid w:val="001321CA"/>
    <w:rsid w:val="001520A9"/>
    <w:rsid w:val="00165CF1"/>
    <w:rsid w:val="00167D4C"/>
    <w:rsid w:val="00170F2A"/>
    <w:rsid w:val="00172AE0"/>
    <w:rsid w:val="001769A9"/>
    <w:rsid w:val="001769D5"/>
    <w:rsid w:val="0018086F"/>
    <w:rsid w:val="00187707"/>
    <w:rsid w:val="001922CF"/>
    <w:rsid w:val="00194E8C"/>
    <w:rsid w:val="00195DC6"/>
    <w:rsid w:val="001A33CF"/>
    <w:rsid w:val="001A47DA"/>
    <w:rsid w:val="001A583F"/>
    <w:rsid w:val="001A5A02"/>
    <w:rsid w:val="001A5A7B"/>
    <w:rsid w:val="001A7A16"/>
    <w:rsid w:val="001B1D01"/>
    <w:rsid w:val="001B1FA8"/>
    <w:rsid w:val="001B6CF1"/>
    <w:rsid w:val="001C01CD"/>
    <w:rsid w:val="001C3A41"/>
    <w:rsid w:val="001D3EBF"/>
    <w:rsid w:val="001D3FE3"/>
    <w:rsid w:val="001F53A4"/>
    <w:rsid w:val="001F6DB9"/>
    <w:rsid w:val="001F72EF"/>
    <w:rsid w:val="001F7D4E"/>
    <w:rsid w:val="0020388F"/>
    <w:rsid w:val="00203A1E"/>
    <w:rsid w:val="002075A6"/>
    <w:rsid w:val="002118F8"/>
    <w:rsid w:val="0021276D"/>
    <w:rsid w:val="002159DF"/>
    <w:rsid w:val="00216374"/>
    <w:rsid w:val="00216CFF"/>
    <w:rsid w:val="002175E8"/>
    <w:rsid w:val="00220D46"/>
    <w:rsid w:val="00221D14"/>
    <w:rsid w:val="00222F16"/>
    <w:rsid w:val="0022680E"/>
    <w:rsid w:val="002279A5"/>
    <w:rsid w:val="0023041E"/>
    <w:rsid w:val="00235927"/>
    <w:rsid w:val="00236629"/>
    <w:rsid w:val="00236632"/>
    <w:rsid w:val="002367E1"/>
    <w:rsid w:val="00237B40"/>
    <w:rsid w:val="0024137E"/>
    <w:rsid w:val="00242E66"/>
    <w:rsid w:val="00243505"/>
    <w:rsid w:val="00243BEB"/>
    <w:rsid w:val="00253E6B"/>
    <w:rsid w:val="002632E2"/>
    <w:rsid w:val="002723E8"/>
    <w:rsid w:val="00272CDD"/>
    <w:rsid w:val="00274607"/>
    <w:rsid w:val="00275F64"/>
    <w:rsid w:val="0028663A"/>
    <w:rsid w:val="002906D6"/>
    <w:rsid w:val="002A58D9"/>
    <w:rsid w:val="002A6630"/>
    <w:rsid w:val="002A728B"/>
    <w:rsid w:val="002B172F"/>
    <w:rsid w:val="002B2515"/>
    <w:rsid w:val="002B7F75"/>
    <w:rsid w:val="002C0DB1"/>
    <w:rsid w:val="002C22BE"/>
    <w:rsid w:val="002C4090"/>
    <w:rsid w:val="002C65C5"/>
    <w:rsid w:val="002D0CB0"/>
    <w:rsid w:val="002D2578"/>
    <w:rsid w:val="002D2593"/>
    <w:rsid w:val="002E3A02"/>
    <w:rsid w:val="002E41FE"/>
    <w:rsid w:val="002F08CD"/>
    <w:rsid w:val="002F1532"/>
    <w:rsid w:val="002F19FB"/>
    <w:rsid w:val="002F47E4"/>
    <w:rsid w:val="0030129E"/>
    <w:rsid w:val="0030149D"/>
    <w:rsid w:val="00303D38"/>
    <w:rsid w:val="003234C5"/>
    <w:rsid w:val="00325AAE"/>
    <w:rsid w:val="003260EC"/>
    <w:rsid w:val="00326EFD"/>
    <w:rsid w:val="00327D98"/>
    <w:rsid w:val="0033205D"/>
    <w:rsid w:val="0033235E"/>
    <w:rsid w:val="00334F58"/>
    <w:rsid w:val="0033597F"/>
    <w:rsid w:val="003365BA"/>
    <w:rsid w:val="00336D1A"/>
    <w:rsid w:val="003377E6"/>
    <w:rsid w:val="003379E2"/>
    <w:rsid w:val="003454D7"/>
    <w:rsid w:val="003467F4"/>
    <w:rsid w:val="00355DAE"/>
    <w:rsid w:val="00361F00"/>
    <w:rsid w:val="0036212F"/>
    <w:rsid w:val="0036563D"/>
    <w:rsid w:val="00367D7A"/>
    <w:rsid w:val="00372BE1"/>
    <w:rsid w:val="00373288"/>
    <w:rsid w:val="00373CB6"/>
    <w:rsid w:val="003769FF"/>
    <w:rsid w:val="00383254"/>
    <w:rsid w:val="00386F8E"/>
    <w:rsid w:val="00392713"/>
    <w:rsid w:val="00392D13"/>
    <w:rsid w:val="00393B46"/>
    <w:rsid w:val="0039431C"/>
    <w:rsid w:val="00394339"/>
    <w:rsid w:val="003A1B82"/>
    <w:rsid w:val="003A306F"/>
    <w:rsid w:val="003A3ABD"/>
    <w:rsid w:val="003B17C0"/>
    <w:rsid w:val="003B40A8"/>
    <w:rsid w:val="003C11BB"/>
    <w:rsid w:val="003C3DEB"/>
    <w:rsid w:val="003C7276"/>
    <w:rsid w:val="003D5041"/>
    <w:rsid w:val="003E3453"/>
    <w:rsid w:val="003E691D"/>
    <w:rsid w:val="003E6EAB"/>
    <w:rsid w:val="00404E9B"/>
    <w:rsid w:val="00406BCC"/>
    <w:rsid w:val="004124AC"/>
    <w:rsid w:val="004130E3"/>
    <w:rsid w:val="00413CBA"/>
    <w:rsid w:val="00416B4A"/>
    <w:rsid w:val="0042457B"/>
    <w:rsid w:val="00427108"/>
    <w:rsid w:val="00427FCF"/>
    <w:rsid w:val="004313CC"/>
    <w:rsid w:val="00431DE3"/>
    <w:rsid w:val="0043245A"/>
    <w:rsid w:val="00432B08"/>
    <w:rsid w:val="004370FC"/>
    <w:rsid w:val="00437C5C"/>
    <w:rsid w:val="00440885"/>
    <w:rsid w:val="0044096F"/>
    <w:rsid w:val="00441BE4"/>
    <w:rsid w:val="00442459"/>
    <w:rsid w:val="00453A8D"/>
    <w:rsid w:val="00453FA3"/>
    <w:rsid w:val="00457219"/>
    <w:rsid w:val="004654D3"/>
    <w:rsid w:val="0046599B"/>
    <w:rsid w:val="00466B8A"/>
    <w:rsid w:val="0047688B"/>
    <w:rsid w:val="0048448D"/>
    <w:rsid w:val="00492EE6"/>
    <w:rsid w:val="004A61EA"/>
    <w:rsid w:val="004B2DD2"/>
    <w:rsid w:val="004B2F61"/>
    <w:rsid w:val="004B5D32"/>
    <w:rsid w:val="004C0238"/>
    <w:rsid w:val="004C369D"/>
    <w:rsid w:val="004C3918"/>
    <w:rsid w:val="004C59F6"/>
    <w:rsid w:val="004D658B"/>
    <w:rsid w:val="004D6D78"/>
    <w:rsid w:val="004D6EEE"/>
    <w:rsid w:val="004D768D"/>
    <w:rsid w:val="004E1397"/>
    <w:rsid w:val="004E2E19"/>
    <w:rsid w:val="004E4AA1"/>
    <w:rsid w:val="004E7994"/>
    <w:rsid w:val="004F2A69"/>
    <w:rsid w:val="004F33B1"/>
    <w:rsid w:val="004F74A6"/>
    <w:rsid w:val="0050390C"/>
    <w:rsid w:val="005044B0"/>
    <w:rsid w:val="00515E8A"/>
    <w:rsid w:val="00524B34"/>
    <w:rsid w:val="0052787D"/>
    <w:rsid w:val="005313C8"/>
    <w:rsid w:val="005355E5"/>
    <w:rsid w:val="00535BF6"/>
    <w:rsid w:val="00537A72"/>
    <w:rsid w:val="005464E5"/>
    <w:rsid w:val="00547F39"/>
    <w:rsid w:val="00556F02"/>
    <w:rsid w:val="0056063F"/>
    <w:rsid w:val="00585483"/>
    <w:rsid w:val="005909D3"/>
    <w:rsid w:val="0059254C"/>
    <w:rsid w:val="00593455"/>
    <w:rsid w:val="00593456"/>
    <w:rsid w:val="00596DDD"/>
    <w:rsid w:val="005A65A1"/>
    <w:rsid w:val="005A67D7"/>
    <w:rsid w:val="005B188E"/>
    <w:rsid w:val="005C1715"/>
    <w:rsid w:val="005C58E0"/>
    <w:rsid w:val="005C7DAF"/>
    <w:rsid w:val="005D7D7E"/>
    <w:rsid w:val="005E0985"/>
    <w:rsid w:val="005E0C51"/>
    <w:rsid w:val="005E1F4D"/>
    <w:rsid w:val="005E5197"/>
    <w:rsid w:val="005F1EE7"/>
    <w:rsid w:val="005F5106"/>
    <w:rsid w:val="00602C94"/>
    <w:rsid w:val="00605200"/>
    <w:rsid w:val="00626CFA"/>
    <w:rsid w:val="00632F7A"/>
    <w:rsid w:val="006356C4"/>
    <w:rsid w:val="00643D7E"/>
    <w:rsid w:val="0064649C"/>
    <w:rsid w:val="006504BF"/>
    <w:rsid w:val="006506AE"/>
    <w:rsid w:val="00653B59"/>
    <w:rsid w:val="006540AC"/>
    <w:rsid w:val="00663199"/>
    <w:rsid w:val="006705F1"/>
    <w:rsid w:val="0067208C"/>
    <w:rsid w:val="00672729"/>
    <w:rsid w:val="00674F21"/>
    <w:rsid w:val="00676D0B"/>
    <w:rsid w:val="006808A4"/>
    <w:rsid w:val="0068365F"/>
    <w:rsid w:val="006918B9"/>
    <w:rsid w:val="006A3C6B"/>
    <w:rsid w:val="006A55BC"/>
    <w:rsid w:val="006A6437"/>
    <w:rsid w:val="006B0A53"/>
    <w:rsid w:val="006B0E37"/>
    <w:rsid w:val="006B1A5A"/>
    <w:rsid w:val="006B569E"/>
    <w:rsid w:val="006C153D"/>
    <w:rsid w:val="006C4169"/>
    <w:rsid w:val="006C566A"/>
    <w:rsid w:val="006E43B0"/>
    <w:rsid w:val="006F5A09"/>
    <w:rsid w:val="006F7C39"/>
    <w:rsid w:val="0070257B"/>
    <w:rsid w:val="0070681D"/>
    <w:rsid w:val="007068D1"/>
    <w:rsid w:val="00710C98"/>
    <w:rsid w:val="00712D11"/>
    <w:rsid w:val="007139AE"/>
    <w:rsid w:val="00725114"/>
    <w:rsid w:val="0072526B"/>
    <w:rsid w:val="00725477"/>
    <w:rsid w:val="00726032"/>
    <w:rsid w:val="00730A14"/>
    <w:rsid w:val="00731546"/>
    <w:rsid w:val="00735A1E"/>
    <w:rsid w:val="00735F34"/>
    <w:rsid w:val="00736F07"/>
    <w:rsid w:val="00741AA8"/>
    <w:rsid w:val="007437CE"/>
    <w:rsid w:val="007439DD"/>
    <w:rsid w:val="00743F4E"/>
    <w:rsid w:val="0075117B"/>
    <w:rsid w:val="00757BB7"/>
    <w:rsid w:val="00760887"/>
    <w:rsid w:val="00760D6D"/>
    <w:rsid w:val="00771552"/>
    <w:rsid w:val="00772119"/>
    <w:rsid w:val="00773229"/>
    <w:rsid w:val="00776658"/>
    <w:rsid w:val="0077763E"/>
    <w:rsid w:val="007804A8"/>
    <w:rsid w:val="007808B8"/>
    <w:rsid w:val="00780F04"/>
    <w:rsid w:val="00781040"/>
    <w:rsid w:val="00781D05"/>
    <w:rsid w:val="007869CA"/>
    <w:rsid w:val="007935DF"/>
    <w:rsid w:val="00795089"/>
    <w:rsid w:val="00796D58"/>
    <w:rsid w:val="007A15E1"/>
    <w:rsid w:val="007A1D22"/>
    <w:rsid w:val="007B47EC"/>
    <w:rsid w:val="007B4D90"/>
    <w:rsid w:val="007B73A5"/>
    <w:rsid w:val="007C3193"/>
    <w:rsid w:val="007C38AC"/>
    <w:rsid w:val="007C4BF1"/>
    <w:rsid w:val="007C62F2"/>
    <w:rsid w:val="007C7D2A"/>
    <w:rsid w:val="007D2F91"/>
    <w:rsid w:val="007D3BC8"/>
    <w:rsid w:val="007D3D49"/>
    <w:rsid w:val="007D6BA9"/>
    <w:rsid w:val="007E2340"/>
    <w:rsid w:val="007E680A"/>
    <w:rsid w:val="007E7800"/>
    <w:rsid w:val="008007AA"/>
    <w:rsid w:val="00800A1D"/>
    <w:rsid w:val="00802A55"/>
    <w:rsid w:val="00804773"/>
    <w:rsid w:val="008057E9"/>
    <w:rsid w:val="008079D5"/>
    <w:rsid w:val="00807BAC"/>
    <w:rsid w:val="00822103"/>
    <w:rsid w:val="008228C9"/>
    <w:rsid w:val="00824FF8"/>
    <w:rsid w:val="008375E3"/>
    <w:rsid w:val="008415A7"/>
    <w:rsid w:val="008426EC"/>
    <w:rsid w:val="008476AA"/>
    <w:rsid w:val="00854406"/>
    <w:rsid w:val="00854C91"/>
    <w:rsid w:val="00857D9A"/>
    <w:rsid w:val="00862AC0"/>
    <w:rsid w:val="008671B8"/>
    <w:rsid w:val="00870FE1"/>
    <w:rsid w:val="00871BC2"/>
    <w:rsid w:val="00880B61"/>
    <w:rsid w:val="00884D5A"/>
    <w:rsid w:val="00885AF5"/>
    <w:rsid w:val="00892DA6"/>
    <w:rsid w:val="00897B55"/>
    <w:rsid w:val="008A14BF"/>
    <w:rsid w:val="008A4586"/>
    <w:rsid w:val="008A46FA"/>
    <w:rsid w:val="008A7AE7"/>
    <w:rsid w:val="008B59C4"/>
    <w:rsid w:val="008B7AF5"/>
    <w:rsid w:val="008C4709"/>
    <w:rsid w:val="008C736F"/>
    <w:rsid w:val="008C78B5"/>
    <w:rsid w:val="008C78EE"/>
    <w:rsid w:val="008E1C11"/>
    <w:rsid w:val="008E1F52"/>
    <w:rsid w:val="008E3C84"/>
    <w:rsid w:val="008E67D8"/>
    <w:rsid w:val="008E6FEC"/>
    <w:rsid w:val="008F206D"/>
    <w:rsid w:val="008F29CD"/>
    <w:rsid w:val="008F3AD0"/>
    <w:rsid w:val="008F682F"/>
    <w:rsid w:val="00901E81"/>
    <w:rsid w:val="00911E40"/>
    <w:rsid w:val="0091424A"/>
    <w:rsid w:val="00916F0B"/>
    <w:rsid w:val="009174CF"/>
    <w:rsid w:val="009200D6"/>
    <w:rsid w:val="00921BDB"/>
    <w:rsid w:val="0092429D"/>
    <w:rsid w:val="0093167A"/>
    <w:rsid w:val="00936428"/>
    <w:rsid w:val="00944011"/>
    <w:rsid w:val="009448AD"/>
    <w:rsid w:val="00944FC5"/>
    <w:rsid w:val="00946E18"/>
    <w:rsid w:val="009476C1"/>
    <w:rsid w:val="00952151"/>
    <w:rsid w:val="0095614B"/>
    <w:rsid w:val="00956EC4"/>
    <w:rsid w:val="00961EF4"/>
    <w:rsid w:val="0096739D"/>
    <w:rsid w:val="00972CF8"/>
    <w:rsid w:val="0097368F"/>
    <w:rsid w:val="009748C0"/>
    <w:rsid w:val="009770ED"/>
    <w:rsid w:val="00985E22"/>
    <w:rsid w:val="00985FFB"/>
    <w:rsid w:val="00986B34"/>
    <w:rsid w:val="00990C25"/>
    <w:rsid w:val="00992662"/>
    <w:rsid w:val="00994832"/>
    <w:rsid w:val="009A7B22"/>
    <w:rsid w:val="009C2998"/>
    <w:rsid w:val="009C4C66"/>
    <w:rsid w:val="009C6612"/>
    <w:rsid w:val="009D24F1"/>
    <w:rsid w:val="009D56D1"/>
    <w:rsid w:val="009D5DF3"/>
    <w:rsid w:val="009D6279"/>
    <w:rsid w:val="009E3C1C"/>
    <w:rsid w:val="009E51C0"/>
    <w:rsid w:val="009F13E9"/>
    <w:rsid w:val="009F7043"/>
    <w:rsid w:val="00A04418"/>
    <w:rsid w:val="00A05FF4"/>
    <w:rsid w:val="00A1117A"/>
    <w:rsid w:val="00A13C5F"/>
    <w:rsid w:val="00A14F41"/>
    <w:rsid w:val="00A161E8"/>
    <w:rsid w:val="00A2494C"/>
    <w:rsid w:val="00A3396D"/>
    <w:rsid w:val="00A42A2D"/>
    <w:rsid w:val="00A42C44"/>
    <w:rsid w:val="00A43DA3"/>
    <w:rsid w:val="00A57A9D"/>
    <w:rsid w:val="00A6143D"/>
    <w:rsid w:val="00A61847"/>
    <w:rsid w:val="00A637DC"/>
    <w:rsid w:val="00A660B5"/>
    <w:rsid w:val="00A66ABB"/>
    <w:rsid w:val="00A744BF"/>
    <w:rsid w:val="00A85ACD"/>
    <w:rsid w:val="00A91529"/>
    <w:rsid w:val="00A962DC"/>
    <w:rsid w:val="00A9774D"/>
    <w:rsid w:val="00A97CC5"/>
    <w:rsid w:val="00AB1939"/>
    <w:rsid w:val="00AB325A"/>
    <w:rsid w:val="00AB5715"/>
    <w:rsid w:val="00AB6CA5"/>
    <w:rsid w:val="00AD533C"/>
    <w:rsid w:val="00AE5A73"/>
    <w:rsid w:val="00AE6D24"/>
    <w:rsid w:val="00AF2199"/>
    <w:rsid w:val="00AF2C5C"/>
    <w:rsid w:val="00B013D6"/>
    <w:rsid w:val="00B03297"/>
    <w:rsid w:val="00B06457"/>
    <w:rsid w:val="00B06974"/>
    <w:rsid w:val="00B109E9"/>
    <w:rsid w:val="00B179EB"/>
    <w:rsid w:val="00B2473C"/>
    <w:rsid w:val="00B25D7E"/>
    <w:rsid w:val="00B3258F"/>
    <w:rsid w:val="00B32720"/>
    <w:rsid w:val="00B32B95"/>
    <w:rsid w:val="00B33206"/>
    <w:rsid w:val="00B3687F"/>
    <w:rsid w:val="00B36ECC"/>
    <w:rsid w:val="00B370B8"/>
    <w:rsid w:val="00B463D0"/>
    <w:rsid w:val="00B46936"/>
    <w:rsid w:val="00B50DCF"/>
    <w:rsid w:val="00B56F10"/>
    <w:rsid w:val="00B60179"/>
    <w:rsid w:val="00B62F9F"/>
    <w:rsid w:val="00B652AD"/>
    <w:rsid w:val="00B72C94"/>
    <w:rsid w:val="00B73C53"/>
    <w:rsid w:val="00B76178"/>
    <w:rsid w:val="00B77DCE"/>
    <w:rsid w:val="00B811E9"/>
    <w:rsid w:val="00B815CD"/>
    <w:rsid w:val="00B82352"/>
    <w:rsid w:val="00B84164"/>
    <w:rsid w:val="00B86ABE"/>
    <w:rsid w:val="00B87154"/>
    <w:rsid w:val="00B93265"/>
    <w:rsid w:val="00B94A2B"/>
    <w:rsid w:val="00B9560D"/>
    <w:rsid w:val="00BA393E"/>
    <w:rsid w:val="00BA70FF"/>
    <w:rsid w:val="00BB45A0"/>
    <w:rsid w:val="00BB67D9"/>
    <w:rsid w:val="00BC44B9"/>
    <w:rsid w:val="00BC63F9"/>
    <w:rsid w:val="00BD0BAB"/>
    <w:rsid w:val="00BD3C74"/>
    <w:rsid w:val="00BD5D5B"/>
    <w:rsid w:val="00BE06D8"/>
    <w:rsid w:val="00BF3CF7"/>
    <w:rsid w:val="00BF492D"/>
    <w:rsid w:val="00C146CA"/>
    <w:rsid w:val="00C15DF8"/>
    <w:rsid w:val="00C21D30"/>
    <w:rsid w:val="00C3138A"/>
    <w:rsid w:val="00C37904"/>
    <w:rsid w:val="00C40AFF"/>
    <w:rsid w:val="00C42B7A"/>
    <w:rsid w:val="00C5088D"/>
    <w:rsid w:val="00C5763C"/>
    <w:rsid w:val="00C57782"/>
    <w:rsid w:val="00C6009A"/>
    <w:rsid w:val="00C62BCF"/>
    <w:rsid w:val="00C6365B"/>
    <w:rsid w:val="00C63D3F"/>
    <w:rsid w:val="00C74977"/>
    <w:rsid w:val="00C7590E"/>
    <w:rsid w:val="00C80E6D"/>
    <w:rsid w:val="00C82A90"/>
    <w:rsid w:val="00C93F77"/>
    <w:rsid w:val="00C950DB"/>
    <w:rsid w:val="00C96595"/>
    <w:rsid w:val="00C97209"/>
    <w:rsid w:val="00CA1F2C"/>
    <w:rsid w:val="00CA65AD"/>
    <w:rsid w:val="00CB0EB5"/>
    <w:rsid w:val="00CB31B2"/>
    <w:rsid w:val="00CB6775"/>
    <w:rsid w:val="00CC1791"/>
    <w:rsid w:val="00CC1A73"/>
    <w:rsid w:val="00CC4594"/>
    <w:rsid w:val="00CC6721"/>
    <w:rsid w:val="00CC7075"/>
    <w:rsid w:val="00CD21E4"/>
    <w:rsid w:val="00CD4BE1"/>
    <w:rsid w:val="00CD6F9D"/>
    <w:rsid w:val="00CD7F73"/>
    <w:rsid w:val="00CE0679"/>
    <w:rsid w:val="00CE12D7"/>
    <w:rsid w:val="00CE2AB3"/>
    <w:rsid w:val="00CF2CFB"/>
    <w:rsid w:val="00CF5CD8"/>
    <w:rsid w:val="00CF6FD7"/>
    <w:rsid w:val="00D03F54"/>
    <w:rsid w:val="00D065B6"/>
    <w:rsid w:val="00D07162"/>
    <w:rsid w:val="00D20323"/>
    <w:rsid w:val="00D24A10"/>
    <w:rsid w:val="00D33D09"/>
    <w:rsid w:val="00D34CDF"/>
    <w:rsid w:val="00D37E45"/>
    <w:rsid w:val="00D4084C"/>
    <w:rsid w:val="00D4177E"/>
    <w:rsid w:val="00D42456"/>
    <w:rsid w:val="00D42B80"/>
    <w:rsid w:val="00D46E24"/>
    <w:rsid w:val="00D511AF"/>
    <w:rsid w:val="00D56213"/>
    <w:rsid w:val="00D61FB4"/>
    <w:rsid w:val="00D63EC0"/>
    <w:rsid w:val="00D640A9"/>
    <w:rsid w:val="00D64CA9"/>
    <w:rsid w:val="00D712B0"/>
    <w:rsid w:val="00D71555"/>
    <w:rsid w:val="00D74B9C"/>
    <w:rsid w:val="00D831AC"/>
    <w:rsid w:val="00D9241E"/>
    <w:rsid w:val="00D93DBF"/>
    <w:rsid w:val="00D970B0"/>
    <w:rsid w:val="00DA0C4A"/>
    <w:rsid w:val="00DA2292"/>
    <w:rsid w:val="00DA4775"/>
    <w:rsid w:val="00DB131A"/>
    <w:rsid w:val="00DB1FAC"/>
    <w:rsid w:val="00DB382E"/>
    <w:rsid w:val="00DB3A90"/>
    <w:rsid w:val="00DD4129"/>
    <w:rsid w:val="00DD62DD"/>
    <w:rsid w:val="00DD7937"/>
    <w:rsid w:val="00DE08B7"/>
    <w:rsid w:val="00DE3C0A"/>
    <w:rsid w:val="00DE6567"/>
    <w:rsid w:val="00DF469A"/>
    <w:rsid w:val="00DF66FF"/>
    <w:rsid w:val="00E008ED"/>
    <w:rsid w:val="00E009BC"/>
    <w:rsid w:val="00E02767"/>
    <w:rsid w:val="00E02C44"/>
    <w:rsid w:val="00E0318B"/>
    <w:rsid w:val="00E04768"/>
    <w:rsid w:val="00E057E6"/>
    <w:rsid w:val="00E126C8"/>
    <w:rsid w:val="00E14AAC"/>
    <w:rsid w:val="00E2234A"/>
    <w:rsid w:val="00E2635D"/>
    <w:rsid w:val="00E27691"/>
    <w:rsid w:val="00E322EB"/>
    <w:rsid w:val="00E407E0"/>
    <w:rsid w:val="00E46F17"/>
    <w:rsid w:val="00E562EF"/>
    <w:rsid w:val="00E5694C"/>
    <w:rsid w:val="00E66578"/>
    <w:rsid w:val="00E66654"/>
    <w:rsid w:val="00E67396"/>
    <w:rsid w:val="00E740BE"/>
    <w:rsid w:val="00E80B05"/>
    <w:rsid w:val="00E827B4"/>
    <w:rsid w:val="00E92300"/>
    <w:rsid w:val="00E933A8"/>
    <w:rsid w:val="00EA355C"/>
    <w:rsid w:val="00EB4522"/>
    <w:rsid w:val="00EB4DBA"/>
    <w:rsid w:val="00EB681B"/>
    <w:rsid w:val="00EB688C"/>
    <w:rsid w:val="00EC014C"/>
    <w:rsid w:val="00ED30CB"/>
    <w:rsid w:val="00ED38D5"/>
    <w:rsid w:val="00ED41A9"/>
    <w:rsid w:val="00EE29C1"/>
    <w:rsid w:val="00EE53E6"/>
    <w:rsid w:val="00EF33BA"/>
    <w:rsid w:val="00EF574E"/>
    <w:rsid w:val="00EF5E2A"/>
    <w:rsid w:val="00EF76FC"/>
    <w:rsid w:val="00F14DAE"/>
    <w:rsid w:val="00F2606D"/>
    <w:rsid w:val="00F26637"/>
    <w:rsid w:val="00F276A7"/>
    <w:rsid w:val="00F34F54"/>
    <w:rsid w:val="00F3562D"/>
    <w:rsid w:val="00F42264"/>
    <w:rsid w:val="00F447CE"/>
    <w:rsid w:val="00F449D0"/>
    <w:rsid w:val="00F5014A"/>
    <w:rsid w:val="00F5250C"/>
    <w:rsid w:val="00F601FB"/>
    <w:rsid w:val="00F637CC"/>
    <w:rsid w:val="00F64BAB"/>
    <w:rsid w:val="00F70E3B"/>
    <w:rsid w:val="00F71CE4"/>
    <w:rsid w:val="00F741BD"/>
    <w:rsid w:val="00F74418"/>
    <w:rsid w:val="00F76E41"/>
    <w:rsid w:val="00F77582"/>
    <w:rsid w:val="00F94596"/>
    <w:rsid w:val="00F96066"/>
    <w:rsid w:val="00FA06BC"/>
    <w:rsid w:val="00FA108B"/>
    <w:rsid w:val="00FB23D9"/>
    <w:rsid w:val="00FB7879"/>
    <w:rsid w:val="00FC57A3"/>
    <w:rsid w:val="00FC67FE"/>
    <w:rsid w:val="00FD2490"/>
    <w:rsid w:val="00FE013D"/>
    <w:rsid w:val="00FE2EF0"/>
    <w:rsid w:val="00FF1094"/>
    <w:rsid w:val="00FF33D8"/>
    <w:rsid w:val="00FF4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B3FE9"/>
  <w15:docId w15:val="{37825243-86F9-4353-9710-F343793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11"/>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10"/>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12"/>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13"/>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15"/>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18"/>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character" w:customStyle="1" w:styleId="A6">
    <w:name w:val="A6"/>
    <w:uiPriority w:val="99"/>
    <w:rsid w:val="000C1A1F"/>
    <w:rPr>
      <w:rFonts w:cs="Helvetica Neue LT Std"/>
      <w:color w:val="000000"/>
      <w:sz w:val="11"/>
      <w:szCs w:val="11"/>
    </w:rPr>
  </w:style>
  <w:style w:type="paragraph" w:styleId="ListParagraph">
    <w:name w:val="List Paragraph"/>
    <w:basedOn w:val="Normal"/>
    <w:uiPriority w:val="34"/>
    <w:qFormat/>
    <w:rsid w:val="00585483"/>
    <w:pPr>
      <w:keepLines w:val="0"/>
      <w:tabs>
        <w:tab w:val="clear" w:pos="567"/>
      </w:tabs>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B77DCE"/>
    <w:rPr>
      <w:sz w:val="16"/>
      <w:szCs w:val="16"/>
    </w:rPr>
  </w:style>
  <w:style w:type="paragraph" w:styleId="CommentText">
    <w:name w:val="annotation text"/>
    <w:basedOn w:val="Normal"/>
    <w:link w:val="CommentTextChar"/>
    <w:uiPriority w:val="99"/>
    <w:semiHidden/>
    <w:unhideWhenUsed/>
    <w:rsid w:val="00B77DCE"/>
    <w:pPr>
      <w:keepLines w:val="0"/>
      <w:tabs>
        <w:tab w:val="clear" w:pos="567"/>
      </w:tabs>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77DCE"/>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7E2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health.ta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health.ta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fetyandquality.gov.au/sites/default/files/2020-02/fact_sheet_8_national_clinical_trials_governance_framework_-_roles_and_functions_-_site_principal_investigator.pdf" TargetMode="External"/><Relationship Id="rId4" Type="http://schemas.openxmlformats.org/officeDocument/2006/relationships/settings" Target="settings.xml"/><Relationship Id="rId9" Type="http://schemas.openxmlformats.org/officeDocument/2006/relationships/hyperlink" Target="https://www.clinicaltrialsandresearch.vic.gov.au/national-mutual-acceptanc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7</TotalTime>
  <Pages>9</Pages>
  <Words>2845</Words>
  <Characters>16071</Characters>
  <Application>Microsoft Office Word</Application>
  <DocSecurity>0</DocSecurity>
  <Lines>388</Lines>
  <Paragraphs>184</Paragraphs>
  <ScaleCrop>false</ScaleCrop>
  <HeadingPairs>
    <vt:vector size="2" baseType="variant">
      <vt:variant>
        <vt:lpstr>Title</vt:lpstr>
      </vt:variant>
      <vt:variant>
        <vt:i4>1</vt:i4>
      </vt:variant>
    </vt:vector>
  </HeadingPairs>
  <TitlesOfParts>
    <vt:vector size="1" baseType="lpstr">
      <vt:lpstr>Procedure Template</vt:lpstr>
    </vt:vector>
  </TitlesOfParts>
  <Company>DHHS</Company>
  <LinksUpToDate>false</LinksUpToDate>
  <CharactersWithSpaces>18808</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7</cp:revision>
  <cp:lastPrinted>2023-08-06T23:03:00Z</cp:lastPrinted>
  <dcterms:created xsi:type="dcterms:W3CDTF">2023-11-15T23:14:00Z</dcterms:created>
  <dcterms:modified xsi:type="dcterms:W3CDTF">2023-11-15T23:41:00Z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 </vt:lpwstr>
  </property>
  <property fmtid="{D5CDD505-2E9C-101B-9397-08002B2CF9AE}" pid="4" name="ReviewDate">
    <vt:lpwstr>Date procedure is to be reviewed (max. 3 years)</vt:lpwstr>
  </property>
  <property fmtid="{D5CDD505-2E9C-101B-9397-08002B2CF9AE}" pid="5" name="Replaces">
    <vt:lpwstr>Procedure replaced (if applicable)</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
  </property>
  <property fmtid="{D5CDD505-2E9C-101B-9397-08002B2CF9AE}" pid="27" name="CustodianPositionTitle">
    <vt:lpwstr>Position Title</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Low Risk Research Ethics, meeting schedule, roles, LRR Ethics committee meeting</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61654004</vt:lpwstr>
  </property>
  <property fmtid="{D5CDD505-2E9C-101B-9397-08002B2CF9AE}" pid="42" name="PreparedDate">
    <vt:lpwstr>3 August 2023</vt:lpwstr>
  </property>
  <property fmtid="{D5CDD505-2E9C-101B-9397-08002B2CF9AE}" pid="43" name="Through">
    <vt:lpwstr/>
  </property>
  <property fmtid="{D5CDD505-2E9C-101B-9397-08002B2CF9AE}" pid="44" name="ThroughPositionTitle">
    <vt:lpwstr/>
  </property>
  <property fmtid="{D5CDD505-2E9C-101B-9397-08002B2CF9AE}" pid="45" name="ThroughDate">
    <vt:lpwstr/>
  </property>
  <property fmtid="{D5CDD505-2E9C-101B-9397-08002B2CF9AE}" pid="46" name="ThroughPhone">
    <vt:lpwstr/>
  </property>
  <property fmtid="{D5CDD505-2E9C-101B-9397-08002B2CF9AE}" pid="47" name="Through2">
    <vt:lpwstr/>
  </property>
  <property fmtid="{D5CDD505-2E9C-101B-9397-08002B2CF9AE}" pid="48" name="Through2PositionTitle">
    <vt:lpwstr/>
  </property>
  <property fmtid="{D5CDD505-2E9C-101B-9397-08002B2CF9AE}" pid="49" name="Through2Date">
    <vt:lpwstr/>
  </property>
  <property fmtid="{D5CDD505-2E9C-101B-9397-08002B2CF9AE}" pid="50" name="Through2Phone">
    <vt:lpwstr/>
  </property>
  <property fmtid="{D5CDD505-2E9C-101B-9397-08002B2CF9AE}" pid="51" name="ClearedBy">
    <vt:lpwstr/>
  </property>
  <property fmtid="{D5CDD505-2E9C-101B-9397-08002B2CF9AE}" pid="52" name="ClearedPhone">
    <vt:lpwstr/>
  </property>
  <property fmtid="{D5CDD505-2E9C-101B-9397-08002B2CF9AE}" pid="53" name="ClearedPositionTitle">
    <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Low Risk Human Research Ethics Committee</vt:lpwstr>
  </property>
  <property fmtid="{D5CDD505-2E9C-101B-9397-08002B2CF9AE}" pid="64" name="ProcedureTitle1">
    <vt:lpwstr/>
  </property>
  <property fmtid="{D5CDD505-2E9C-101B-9397-08002B2CF9AE}" pid="65" name="OverarchingPolicy">
    <vt:lpwstr>List the policies that this procedure relates to</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