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1E0" w:firstRow="1" w:lastRow="1" w:firstColumn="1" w:lastColumn="1" w:noHBand="0" w:noVBand="0"/>
      </w:tblPr>
      <w:tblGrid>
        <w:gridCol w:w="7676"/>
        <w:gridCol w:w="1962"/>
      </w:tblGrid>
      <w:tr w:rsidR="00E653EC" w:rsidRPr="00F673CB" w14:paraId="057A0004" w14:textId="77777777">
        <w:tc>
          <w:tcPr>
            <w:tcW w:w="3982" w:type="pct"/>
          </w:tcPr>
          <w:p w14:paraId="16EF91F8" w14:textId="77777777" w:rsidR="00E653EC" w:rsidRDefault="00E653EC" w:rsidP="00964180">
            <w:pPr>
              <w:pStyle w:val="DepartmentTitle"/>
              <w:widowControl w:val="0"/>
              <w:spacing w:after="140" w:line="300" w:lineRule="atLeast"/>
            </w:pPr>
            <w:bookmarkStart w:id="0" w:name="bmTop"/>
            <w:bookmarkEnd w:id="0"/>
            <w:r>
              <w:t xml:space="preserve">Department of Health </w:t>
            </w:r>
          </w:p>
          <w:p w14:paraId="7FBF9056" w14:textId="64AA5FE2" w:rsidR="00E653EC" w:rsidRDefault="004647FE" w:rsidP="00964180">
            <w:pPr>
              <w:pStyle w:val="Sub-branch"/>
              <w:widowControl w:val="0"/>
              <w:spacing w:before="0" w:after="140" w:line="300" w:lineRule="atLeast"/>
            </w:pPr>
            <w:r>
              <w:t>PLANNING, PURCHASING &amp; PERFORMANCE -</w:t>
            </w:r>
            <w:r w:rsidR="00E653EC">
              <w:t xml:space="preserve"> mental HEALTH, alcohol and drug directorate</w:t>
            </w:r>
          </w:p>
          <w:p w14:paraId="73112AC0" w14:textId="77777777" w:rsidR="002F27E3" w:rsidRPr="001A6DB6" w:rsidRDefault="002F27E3" w:rsidP="00964180">
            <w:pPr>
              <w:pStyle w:val="Sub-branch"/>
              <w:widowControl w:val="0"/>
              <w:spacing w:before="0" w:after="140" w:line="300" w:lineRule="atLeast"/>
            </w:pPr>
            <w:r>
              <w:t>INTERAGENCY Working Group on Drugs</w:t>
            </w:r>
          </w:p>
        </w:tc>
        <w:tc>
          <w:tcPr>
            <w:tcW w:w="1018" w:type="pct"/>
          </w:tcPr>
          <w:p w14:paraId="74A1FD29" w14:textId="77777777" w:rsidR="00E653EC" w:rsidRPr="00626B18" w:rsidRDefault="00E653EC" w:rsidP="00964180">
            <w:pPr>
              <w:pStyle w:val="Logo"/>
              <w:widowControl w:val="0"/>
              <w:spacing w:after="140"/>
              <w:rPr>
                <w:szCs w:val="18"/>
              </w:rPr>
            </w:pPr>
            <w:r>
              <w:rPr>
                <w:noProof/>
                <w:lang w:eastAsia="en-AU"/>
              </w:rPr>
              <w:drawing>
                <wp:inline distT="0" distB="0" distL="0" distR="0" wp14:anchorId="16445687" wp14:editId="5448746D">
                  <wp:extent cx="977900" cy="914400"/>
                  <wp:effectExtent l="0" t="0" r="0" b="0"/>
                  <wp:docPr id="10" name="Picture 10"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1-03-07 - 2010_TAS_Gov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900" cy="914400"/>
                          </a:xfrm>
                          <a:prstGeom prst="rect">
                            <a:avLst/>
                          </a:prstGeom>
                          <a:noFill/>
                          <a:ln>
                            <a:noFill/>
                          </a:ln>
                        </pic:spPr>
                      </pic:pic>
                    </a:graphicData>
                  </a:graphic>
                </wp:inline>
              </w:drawing>
            </w:r>
          </w:p>
        </w:tc>
      </w:tr>
      <w:tr w:rsidR="00E653EC" w:rsidRPr="00914911" w14:paraId="19698DDD" w14:textId="77777777">
        <w:tc>
          <w:tcPr>
            <w:tcW w:w="3982" w:type="pct"/>
          </w:tcPr>
          <w:p w14:paraId="4AA3B8C4" w14:textId="77777777" w:rsidR="00E653EC" w:rsidRDefault="00E653EC" w:rsidP="00964180">
            <w:pPr>
              <w:pStyle w:val="FileorMTSNo"/>
              <w:widowControl w:val="0"/>
              <w:spacing w:after="140" w:line="300" w:lineRule="atLeast"/>
            </w:pPr>
            <w:r>
              <w:fldChar w:fldCharType="begin"/>
            </w:r>
            <w:r>
              <w:instrText xml:space="preserve"> DOCPROPERTY  File  \* MERGEFORMAT </w:instrText>
            </w:r>
            <w:r>
              <w:fldChar w:fldCharType="end"/>
            </w:r>
          </w:p>
          <w:p w14:paraId="7DFF9305" w14:textId="77777777" w:rsidR="002B3050" w:rsidRDefault="002B3050" w:rsidP="00964180">
            <w:pPr>
              <w:pStyle w:val="FileorMTSNo"/>
              <w:widowControl w:val="0"/>
              <w:spacing w:after="140" w:line="300" w:lineRule="atLeast"/>
            </w:pPr>
          </w:p>
          <w:p w14:paraId="433C6275" w14:textId="77777777" w:rsidR="002B3050" w:rsidRDefault="002B3050" w:rsidP="00964180">
            <w:pPr>
              <w:pStyle w:val="FileorMTSNo"/>
              <w:widowControl w:val="0"/>
              <w:spacing w:after="140" w:line="300" w:lineRule="atLeast"/>
            </w:pPr>
          </w:p>
          <w:p w14:paraId="345F3F25" w14:textId="50B823A5" w:rsidR="002B3050" w:rsidRDefault="002B3050" w:rsidP="00964180">
            <w:pPr>
              <w:pStyle w:val="FileorMTSNo"/>
              <w:widowControl w:val="0"/>
              <w:spacing w:after="140" w:line="300" w:lineRule="atLeast"/>
            </w:pPr>
          </w:p>
        </w:tc>
        <w:tc>
          <w:tcPr>
            <w:tcW w:w="1018" w:type="pct"/>
          </w:tcPr>
          <w:p w14:paraId="45062FEE" w14:textId="77777777" w:rsidR="00E653EC" w:rsidRPr="00914911" w:rsidRDefault="00E653EC" w:rsidP="00964180">
            <w:pPr>
              <w:pStyle w:val="Fileno"/>
              <w:widowControl w:val="0"/>
              <w:spacing w:after="140" w:line="300" w:lineRule="atLeast"/>
            </w:pPr>
          </w:p>
        </w:tc>
      </w:tr>
      <w:tr w:rsidR="00E653EC" w:rsidRPr="004647FE" w14:paraId="31F2714B" w14:textId="77777777">
        <w:tc>
          <w:tcPr>
            <w:tcW w:w="5000" w:type="pct"/>
            <w:gridSpan w:val="2"/>
          </w:tcPr>
          <w:p w14:paraId="017406F2" w14:textId="77777777" w:rsidR="00CC0DBB" w:rsidRPr="004A4A7A" w:rsidRDefault="006904B2" w:rsidP="004A4A7A">
            <w:pPr>
              <w:pStyle w:val="Title"/>
            </w:pPr>
            <w:fldSimple w:instr=" DOCPROPERTY  ReportTitle1  \* MERGEFORMAT ">
              <w:r w:rsidR="00E653EC" w:rsidRPr="004A4A7A">
                <w:t>Tasmanian Drug Strategy 2013-2018</w:t>
              </w:r>
            </w:fldSimple>
            <w:r w:rsidR="00E653EC" w:rsidRPr="004A4A7A">
              <w:br/>
            </w:r>
            <w:fldSimple w:instr=" DOCPROPERTY  ReportTitle2  \* MERGEFORMAT ">
              <w:r w:rsidR="00E653EC" w:rsidRPr="004A4A7A">
                <w:t>Report on Activities</w:t>
              </w:r>
            </w:fldSimple>
            <w:r w:rsidR="00E653EC" w:rsidRPr="004A4A7A">
              <w:br/>
            </w:r>
          </w:p>
          <w:p w14:paraId="5B3B131B" w14:textId="77777777" w:rsidR="00CC0DBB" w:rsidRPr="004647FE" w:rsidRDefault="00CC0DBB" w:rsidP="00964180">
            <w:pPr>
              <w:pStyle w:val="ReportTitle"/>
              <w:widowControl w:val="0"/>
              <w:spacing w:before="0" w:after="140"/>
              <w:rPr>
                <w:sz w:val="52"/>
                <w:szCs w:val="52"/>
              </w:rPr>
            </w:pPr>
          </w:p>
          <w:p w14:paraId="0458DE90" w14:textId="77777777" w:rsidR="00E653EC" w:rsidRPr="004647FE" w:rsidRDefault="00E653EC" w:rsidP="00964180">
            <w:pPr>
              <w:pStyle w:val="ReportTitle"/>
              <w:widowControl w:val="0"/>
              <w:spacing w:before="0" w:after="140"/>
              <w:rPr>
                <w:sz w:val="52"/>
                <w:szCs w:val="52"/>
              </w:rPr>
            </w:pPr>
            <w:r w:rsidRPr="004647FE">
              <w:rPr>
                <w:sz w:val="52"/>
                <w:szCs w:val="52"/>
              </w:rPr>
              <w:fldChar w:fldCharType="begin"/>
            </w:r>
            <w:r w:rsidRPr="004647FE">
              <w:rPr>
                <w:sz w:val="52"/>
                <w:szCs w:val="52"/>
              </w:rPr>
              <w:instrText xml:space="preserve"> DOCPROPERTY  ReportTitle3  \* MERGEFORMAT </w:instrText>
            </w:r>
            <w:r w:rsidRPr="004647FE">
              <w:rPr>
                <w:sz w:val="52"/>
                <w:szCs w:val="52"/>
              </w:rPr>
              <w:fldChar w:fldCharType="end"/>
            </w:r>
          </w:p>
          <w:p w14:paraId="605EDA88" w14:textId="77777777" w:rsidR="00E653EC" w:rsidRPr="004647FE" w:rsidRDefault="00E653EC" w:rsidP="00964180">
            <w:pPr>
              <w:pStyle w:val="Fileno"/>
              <w:widowControl w:val="0"/>
              <w:spacing w:after="140" w:line="300" w:lineRule="atLeast"/>
              <w:rPr>
                <w:sz w:val="52"/>
                <w:szCs w:val="52"/>
              </w:rPr>
            </w:pPr>
          </w:p>
        </w:tc>
      </w:tr>
      <w:tr w:rsidR="00E653EC" w:rsidRPr="00914911" w14:paraId="664880C7" w14:textId="77777777">
        <w:tc>
          <w:tcPr>
            <w:tcW w:w="5000" w:type="pct"/>
            <w:gridSpan w:val="2"/>
          </w:tcPr>
          <w:p w14:paraId="07AF2C70" w14:textId="3AD97CFF" w:rsidR="00D7782F" w:rsidRPr="00D7782F" w:rsidRDefault="00D7782F" w:rsidP="00964180">
            <w:pPr>
              <w:widowControl w:val="0"/>
            </w:pPr>
          </w:p>
        </w:tc>
      </w:tr>
      <w:tr w:rsidR="00E653EC" w:rsidRPr="00914911" w14:paraId="28697947" w14:textId="77777777">
        <w:tc>
          <w:tcPr>
            <w:tcW w:w="5000" w:type="pct"/>
            <w:gridSpan w:val="2"/>
          </w:tcPr>
          <w:p w14:paraId="06814610" w14:textId="77777777" w:rsidR="00E653EC" w:rsidRDefault="00E653EC" w:rsidP="00964180">
            <w:pPr>
              <w:pStyle w:val="Date"/>
              <w:widowControl w:val="0"/>
              <w:spacing w:after="140" w:line="300" w:lineRule="atLeast"/>
            </w:pPr>
            <w:r>
              <w:fldChar w:fldCharType="begin"/>
            </w:r>
            <w:r>
              <w:instrText xml:space="preserve"> DOCPROPERTY  Date  \* MERGEFORMAT </w:instrText>
            </w:r>
            <w:r>
              <w:fldChar w:fldCharType="end"/>
            </w:r>
          </w:p>
        </w:tc>
      </w:tr>
    </w:tbl>
    <w:p w14:paraId="715E6BBC" w14:textId="77777777" w:rsidR="007E6D98" w:rsidRDefault="007E6D98" w:rsidP="00964180">
      <w:pPr>
        <w:pStyle w:val="Date"/>
        <w:widowControl w:val="0"/>
        <w:spacing w:after="140" w:line="300" w:lineRule="atLeast"/>
      </w:pPr>
    </w:p>
    <w:p w14:paraId="4E580E6C" w14:textId="77777777" w:rsidR="006B64D9" w:rsidRDefault="006B64D9" w:rsidP="00964180">
      <w:pPr>
        <w:widowControl w:val="0"/>
      </w:pPr>
    </w:p>
    <w:p w14:paraId="232E1A48" w14:textId="77777777" w:rsidR="009B2BF9" w:rsidRDefault="009B2BF9" w:rsidP="00964180">
      <w:pPr>
        <w:widowControl w:val="0"/>
      </w:pPr>
    </w:p>
    <w:p w14:paraId="3AB2F5DA" w14:textId="77777777" w:rsidR="00CF3E56" w:rsidRDefault="00CF3E56" w:rsidP="00964180">
      <w:pPr>
        <w:widowControl w:val="0"/>
      </w:pPr>
    </w:p>
    <w:p w14:paraId="7E8E80C9" w14:textId="77777777" w:rsidR="00CF3E56" w:rsidRDefault="00CF3E56" w:rsidP="00964180">
      <w:pPr>
        <w:widowControl w:val="0"/>
      </w:pPr>
    </w:p>
    <w:p w14:paraId="3BEFA1FF" w14:textId="77777777" w:rsidR="00CF3E56" w:rsidRDefault="00CF3E56" w:rsidP="00964180">
      <w:pPr>
        <w:widowControl w:val="0"/>
      </w:pPr>
    </w:p>
    <w:p w14:paraId="73267A97" w14:textId="77777777" w:rsidR="00CF3E56" w:rsidRDefault="00CF3E56" w:rsidP="00964180">
      <w:pPr>
        <w:widowControl w:val="0"/>
      </w:pPr>
    </w:p>
    <w:p w14:paraId="2639F396" w14:textId="77777777" w:rsidR="00CF3E56" w:rsidRDefault="00CF3E56" w:rsidP="00964180">
      <w:pPr>
        <w:widowControl w:val="0"/>
      </w:pPr>
    </w:p>
    <w:p w14:paraId="1842775E" w14:textId="77777777" w:rsidR="00CF3E56" w:rsidRDefault="00CF3E56" w:rsidP="00964180">
      <w:pPr>
        <w:widowControl w:val="0"/>
      </w:pPr>
    </w:p>
    <w:p w14:paraId="48EA1BA0" w14:textId="77777777" w:rsidR="00CF3E56" w:rsidRDefault="00CF3E56" w:rsidP="00964180">
      <w:pPr>
        <w:widowControl w:val="0"/>
      </w:pPr>
    </w:p>
    <w:p w14:paraId="5832B818" w14:textId="77777777" w:rsidR="00CF3E56" w:rsidRDefault="00CF3E56" w:rsidP="00964180">
      <w:pPr>
        <w:widowControl w:val="0"/>
      </w:pPr>
    </w:p>
    <w:p w14:paraId="2CCD4AEF" w14:textId="77777777" w:rsidR="00CF3E56" w:rsidRDefault="00CF3E56" w:rsidP="00964180">
      <w:pPr>
        <w:widowControl w:val="0"/>
      </w:pPr>
    </w:p>
    <w:p w14:paraId="5AC080F9" w14:textId="77777777" w:rsidR="00CF3E56" w:rsidRDefault="00CF3E56" w:rsidP="00964180">
      <w:pPr>
        <w:widowControl w:val="0"/>
      </w:pPr>
    </w:p>
    <w:p w14:paraId="2620BB9B" w14:textId="77777777" w:rsidR="00CF3E56" w:rsidRDefault="00CF3E56" w:rsidP="00964180">
      <w:pPr>
        <w:widowControl w:val="0"/>
      </w:pPr>
    </w:p>
    <w:p w14:paraId="005C4DEE" w14:textId="77777777" w:rsidR="00CF3E56" w:rsidRPr="00616406" w:rsidRDefault="00CF3E56" w:rsidP="00964180">
      <w:pPr>
        <w:pStyle w:val="Disclaimer"/>
        <w:spacing w:before="0" w:after="140" w:line="300" w:lineRule="atLeast"/>
        <w:ind w:right="3968"/>
        <w:rPr>
          <w:rFonts w:ascii="Gill Sans MT" w:hAnsi="Gill Sans MT"/>
          <w:b/>
          <w:i/>
          <w:color w:val="auto"/>
        </w:rPr>
      </w:pPr>
    </w:p>
    <w:p w14:paraId="7026410E" w14:textId="77777777" w:rsidR="00CC0DBB" w:rsidRDefault="00CC0DBB" w:rsidP="00964180">
      <w:pPr>
        <w:pStyle w:val="Disclaimer"/>
        <w:spacing w:before="0" w:after="140" w:line="300" w:lineRule="atLeast"/>
        <w:ind w:right="4535"/>
        <w:rPr>
          <w:rFonts w:ascii="Gill Sans MT" w:hAnsi="Gill Sans MT"/>
          <w:b/>
          <w:i/>
        </w:rPr>
      </w:pPr>
    </w:p>
    <w:p w14:paraId="069AACA1" w14:textId="77777777" w:rsidR="00CC0DBB" w:rsidRDefault="00CC0DBB" w:rsidP="00964180">
      <w:pPr>
        <w:pStyle w:val="Disclaimer"/>
        <w:spacing w:before="0" w:after="140" w:line="300" w:lineRule="atLeast"/>
        <w:ind w:right="4535"/>
        <w:rPr>
          <w:rFonts w:ascii="Gill Sans MT" w:hAnsi="Gill Sans MT"/>
          <w:b/>
          <w:i/>
        </w:rPr>
      </w:pPr>
    </w:p>
    <w:p w14:paraId="76DD459F" w14:textId="77777777" w:rsidR="00CC0DBB" w:rsidRDefault="00CC0DBB" w:rsidP="00964180">
      <w:pPr>
        <w:pStyle w:val="Disclaimer"/>
        <w:spacing w:before="0" w:after="140" w:line="300" w:lineRule="atLeast"/>
        <w:ind w:right="4535"/>
        <w:rPr>
          <w:rFonts w:ascii="Gill Sans MT" w:hAnsi="Gill Sans MT"/>
          <w:b/>
          <w:i/>
        </w:rPr>
      </w:pPr>
    </w:p>
    <w:p w14:paraId="21C4DA40" w14:textId="77777777" w:rsidR="00CC0DBB" w:rsidRDefault="00CC0DBB" w:rsidP="00964180">
      <w:pPr>
        <w:pStyle w:val="Disclaimer"/>
        <w:spacing w:before="0" w:after="140" w:line="300" w:lineRule="atLeast"/>
        <w:ind w:right="4535"/>
        <w:rPr>
          <w:rFonts w:ascii="Gill Sans MT" w:hAnsi="Gill Sans MT"/>
          <w:b/>
          <w:i/>
        </w:rPr>
      </w:pPr>
    </w:p>
    <w:p w14:paraId="17F59BE6" w14:textId="77777777" w:rsidR="00CC0DBB" w:rsidRDefault="00CC0DBB" w:rsidP="00964180">
      <w:pPr>
        <w:pStyle w:val="Disclaimer"/>
        <w:spacing w:before="0" w:after="140" w:line="300" w:lineRule="atLeast"/>
        <w:ind w:right="4535"/>
        <w:rPr>
          <w:rFonts w:ascii="Gill Sans MT" w:hAnsi="Gill Sans MT"/>
          <w:b/>
          <w:i/>
        </w:rPr>
      </w:pPr>
    </w:p>
    <w:p w14:paraId="446A8771" w14:textId="77777777" w:rsidR="00CC0DBB" w:rsidRDefault="00CC0DBB" w:rsidP="00964180">
      <w:pPr>
        <w:pStyle w:val="Disclaimer"/>
        <w:spacing w:before="0" w:after="140" w:line="300" w:lineRule="atLeast"/>
        <w:ind w:right="4535"/>
        <w:rPr>
          <w:rFonts w:ascii="Gill Sans MT" w:hAnsi="Gill Sans MT"/>
          <w:b/>
          <w:i/>
        </w:rPr>
      </w:pPr>
    </w:p>
    <w:p w14:paraId="45DADF6E" w14:textId="77777777" w:rsidR="00CC0DBB" w:rsidRDefault="00CC0DBB" w:rsidP="00964180">
      <w:pPr>
        <w:pStyle w:val="Disclaimer"/>
        <w:spacing w:before="0" w:after="140" w:line="300" w:lineRule="atLeast"/>
        <w:ind w:right="4535"/>
        <w:rPr>
          <w:rFonts w:ascii="Gill Sans MT" w:hAnsi="Gill Sans MT"/>
          <w:b/>
          <w:i/>
        </w:rPr>
      </w:pPr>
    </w:p>
    <w:p w14:paraId="78BA4F95" w14:textId="77777777" w:rsidR="00CC0DBB" w:rsidRDefault="00CC0DBB" w:rsidP="00964180">
      <w:pPr>
        <w:pStyle w:val="Disclaimer"/>
        <w:spacing w:before="0" w:after="140" w:line="300" w:lineRule="atLeast"/>
        <w:ind w:right="4535"/>
        <w:rPr>
          <w:rFonts w:ascii="Gill Sans MT" w:hAnsi="Gill Sans MT"/>
          <w:b/>
          <w:i/>
        </w:rPr>
      </w:pPr>
    </w:p>
    <w:p w14:paraId="1E8BF20E" w14:textId="77777777" w:rsidR="00CC0DBB" w:rsidRDefault="00CC0DBB" w:rsidP="00964180">
      <w:pPr>
        <w:pStyle w:val="Disclaimer"/>
        <w:spacing w:before="0" w:after="140" w:line="300" w:lineRule="atLeast"/>
        <w:ind w:right="4535"/>
        <w:rPr>
          <w:rFonts w:ascii="Gill Sans MT" w:hAnsi="Gill Sans MT"/>
          <w:b/>
          <w:i/>
        </w:rPr>
      </w:pPr>
    </w:p>
    <w:p w14:paraId="79D1BE5A" w14:textId="77777777" w:rsidR="00CC0DBB" w:rsidRDefault="00CC0DBB" w:rsidP="00964180">
      <w:pPr>
        <w:pStyle w:val="Disclaimer"/>
        <w:spacing w:before="0" w:after="140" w:line="300" w:lineRule="atLeast"/>
        <w:ind w:right="4535"/>
        <w:rPr>
          <w:rFonts w:ascii="Gill Sans MT" w:hAnsi="Gill Sans MT"/>
          <w:b/>
          <w:i/>
        </w:rPr>
      </w:pPr>
    </w:p>
    <w:p w14:paraId="7E807688" w14:textId="584A193B" w:rsidR="00CC0DBB" w:rsidRDefault="00CC0DBB" w:rsidP="00964180">
      <w:pPr>
        <w:pStyle w:val="Disclaimer"/>
        <w:spacing w:before="0" w:after="140" w:line="300" w:lineRule="atLeast"/>
        <w:ind w:right="4535"/>
        <w:rPr>
          <w:rFonts w:ascii="Gill Sans MT" w:hAnsi="Gill Sans MT"/>
          <w:b/>
          <w:i/>
        </w:rPr>
      </w:pPr>
    </w:p>
    <w:p w14:paraId="2DB6DFAD" w14:textId="77777777" w:rsidR="00921F79" w:rsidRDefault="00921F79" w:rsidP="00964180">
      <w:pPr>
        <w:pStyle w:val="Disclaimer"/>
        <w:spacing w:before="0" w:after="140" w:line="300" w:lineRule="atLeast"/>
        <w:ind w:right="4535"/>
        <w:rPr>
          <w:rFonts w:ascii="Gill Sans MT" w:hAnsi="Gill Sans MT"/>
          <w:b/>
          <w:i/>
        </w:rPr>
      </w:pPr>
    </w:p>
    <w:p w14:paraId="215038B8" w14:textId="77777777" w:rsidR="00CC0DBB" w:rsidRDefault="00CC0DBB" w:rsidP="00964180">
      <w:pPr>
        <w:pStyle w:val="Disclaimer"/>
        <w:spacing w:before="0" w:after="140" w:line="300" w:lineRule="atLeast"/>
        <w:ind w:right="4535"/>
        <w:rPr>
          <w:rFonts w:ascii="Gill Sans MT" w:hAnsi="Gill Sans MT"/>
          <w:b/>
          <w:i/>
        </w:rPr>
      </w:pPr>
    </w:p>
    <w:p w14:paraId="1D9CA152" w14:textId="77777777" w:rsidR="00CC0DBB" w:rsidRDefault="00CC0DBB" w:rsidP="00964180">
      <w:pPr>
        <w:pStyle w:val="Disclaimer"/>
        <w:spacing w:before="0" w:after="140" w:line="300" w:lineRule="atLeast"/>
        <w:ind w:right="4535"/>
        <w:rPr>
          <w:rFonts w:ascii="Gill Sans MT" w:hAnsi="Gill Sans MT"/>
          <w:b/>
          <w:i/>
        </w:rPr>
      </w:pPr>
    </w:p>
    <w:p w14:paraId="1CE57C4A" w14:textId="77777777" w:rsidR="00CC0DBB" w:rsidRDefault="00CC0DBB" w:rsidP="00964180">
      <w:pPr>
        <w:pStyle w:val="Disclaimer"/>
        <w:spacing w:before="0" w:after="140" w:line="300" w:lineRule="atLeast"/>
        <w:ind w:right="4535"/>
        <w:rPr>
          <w:rFonts w:ascii="Gill Sans MT" w:hAnsi="Gill Sans MT"/>
          <w:b/>
          <w:i/>
        </w:rPr>
      </w:pPr>
    </w:p>
    <w:p w14:paraId="1F6EEB51" w14:textId="27A0A0EB" w:rsidR="00CF3E56" w:rsidRPr="00294707" w:rsidRDefault="00A66D4B" w:rsidP="00964180">
      <w:pPr>
        <w:pStyle w:val="Disclaimer"/>
        <w:spacing w:before="0" w:after="140" w:line="300" w:lineRule="atLeast"/>
        <w:ind w:right="4535"/>
        <w:rPr>
          <w:rFonts w:ascii="Gill Sans MT" w:hAnsi="Gill Sans MT"/>
        </w:rPr>
      </w:pPr>
      <w:r>
        <w:rPr>
          <w:rFonts w:ascii="Gill Sans MT" w:hAnsi="Gill Sans MT"/>
          <w:b/>
          <w:i/>
        </w:rPr>
        <w:t>Tasmanian Drug Strategy 2013-2018</w:t>
      </w:r>
      <w:r w:rsidR="00921F79">
        <w:rPr>
          <w:rFonts w:ascii="Gill Sans MT" w:hAnsi="Gill Sans MT"/>
          <w:b/>
          <w:i/>
        </w:rPr>
        <w:t xml:space="preserve"> </w:t>
      </w:r>
      <w:r>
        <w:rPr>
          <w:rFonts w:ascii="Gill Sans MT" w:hAnsi="Gill Sans MT"/>
          <w:b/>
          <w:i/>
        </w:rPr>
        <w:t>Report on activities</w:t>
      </w:r>
    </w:p>
    <w:p w14:paraId="7D463466" w14:textId="77777777" w:rsidR="00CF3E56" w:rsidRPr="00294707" w:rsidRDefault="00CF3E56" w:rsidP="00964180">
      <w:pPr>
        <w:pStyle w:val="Disclaimer"/>
        <w:spacing w:before="0" w:after="140" w:line="300" w:lineRule="atLeast"/>
        <w:ind w:right="4535"/>
        <w:rPr>
          <w:rFonts w:ascii="Gill Sans MT" w:hAnsi="Gill Sans MT"/>
          <w:lang w:val="en-AU"/>
        </w:rPr>
      </w:pPr>
      <w:r>
        <w:rPr>
          <w:rFonts w:ascii="Gill Sans MT" w:hAnsi="Gill Sans MT"/>
          <w:lang w:val="en-AU"/>
        </w:rPr>
        <w:t>© Government of Tasmania, 2019</w:t>
      </w:r>
    </w:p>
    <w:p w14:paraId="24992495" w14:textId="77777777" w:rsidR="00CF3E56" w:rsidRPr="00294707" w:rsidRDefault="00CF3E56" w:rsidP="00964180">
      <w:pPr>
        <w:pStyle w:val="Disclaimer"/>
        <w:spacing w:before="0" w:after="140" w:line="300" w:lineRule="atLeast"/>
        <w:ind w:right="4535"/>
        <w:rPr>
          <w:rFonts w:ascii="Gill Sans MT" w:hAnsi="Gill Sans MT"/>
          <w:lang w:val="en-AU"/>
        </w:rPr>
      </w:pPr>
      <w:r w:rsidRPr="00294707">
        <w:rPr>
          <w:rFonts w:ascii="Gill Sans MT" w:hAnsi="Gill Sans MT"/>
          <w:lang w:val="en-AU"/>
        </w:rPr>
        <w:t xml:space="preserve">Excerpts from this publication may be reproduced, with appropriate acknowledgement, as permitted under the Copyright Act. </w:t>
      </w:r>
    </w:p>
    <w:p w14:paraId="23F7A80B" w14:textId="5BAFB142" w:rsidR="003644BC" w:rsidRDefault="003644BC" w:rsidP="00964180">
      <w:pPr>
        <w:pStyle w:val="Disclaimer"/>
        <w:spacing w:before="0" w:after="140" w:line="300" w:lineRule="atLeast"/>
        <w:ind w:right="4535"/>
        <w:rPr>
          <w:rFonts w:ascii="Gill Sans MT" w:hAnsi="Gill Sans MT"/>
          <w:lang w:val="en-AU"/>
        </w:rPr>
      </w:pPr>
      <w:r>
        <w:rPr>
          <w:rFonts w:ascii="Gill Sans MT" w:hAnsi="Gill Sans MT"/>
          <w:lang w:val="en-AU"/>
        </w:rPr>
        <w:t>Suggested citation:</w:t>
      </w:r>
      <w:r w:rsidR="00921F79">
        <w:rPr>
          <w:rFonts w:ascii="Gill Sans MT" w:hAnsi="Gill Sans MT"/>
          <w:lang w:val="en-AU"/>
        </w:rPr>
        <w:t xml:space="preserve"> Department of Health, 2019. </w:t>
      </w:r>
      <w:r w:rsidR="00921F79" w:rsidRPr="00921F79">
        <w:rPr>
          <w:rFonts w:ascii="Gill Sans MT" w:hAnsi="Gill Sans MT"/>
          <w:i/>
          <w:lang w:val="en-AU"/>
        </w:rPr>
        <w:t>Tasmanian Drug Strategy 2013-2018. Report on Activities.</w:t>
      </w:r>
      <w:r w:rsidR="00921F79">
        <w:rPr>
          <w:rFonts w:ascii="Gill Sans MT" w:hAnsi="Gill Sans MT"/>
          <w:lang w:val="en-AU"/>
        </w:rPr>
        <w:t xml:space="preserve"> Hobart, Tasmania</w:t>
      </w:r>
    </w:p>
    <w:p w14:paraId="221D3CCD" w14:textId="268E5404" w:rsidR="00CF3E56" w:rsidRPr="00294707" w:rsidRDefault="00CF3E56" w:rsidP="00964180">
      <w:pPr>
        <w:pStyle w:val="Disclaimer"/>
        <w:spacing w:before="0" w:after="140" w:line="300" w:lineRule="atLeast"/>
        <w:ind w:right="4535"/>
        <w:rPr>
          <w:rFonts w:ascii="Gill Sans MT" w:hAnsi="Gill Sans MT"/>
          <w:lang w:val="en-AU"/>
        </w:rPr>
      </w:pPr>
      <w:r w:rsidRPr="00294707">
        <w:rPr>
          <w:rFonts w:ascii="Gill Sans MT" w:hAnsi="Gill Sans MT"/>
          <w:lang w:val="en-AU"/>
        </w:rPr>
        <w:t xml:space="preserve">For further information please contact: </w:t>
      </w:r>
    </w:p>
    <w:p w14:paraId="56B241B0" w14:textId="77777777" w:rsidR="00CF3E56" w:rsidRDefault="00CF3E56" w:rsidP="00CC0DBB">
      <w:pPr>
        <w:pStyle w:val="Disclaimer"/>
        <w:spacing w:before="0"/>
        <w:ind w:left="284" w:right="4536"/>
        <w:rPr>
          <w:rFonts w:ascii="Gill Sans MT" w:hAnsi="Gill Sans MT"/>
          <w:lang w:val="en-AU"/>
        </w:rPr>
      </w:pPr>
      <w:r w:rsidRPr="00294707">
        <w:rPr>
          <w:rFonts w:ascii="Gill Sans MT" w:hAnsi="Gill Sans MT"/>
          <w:lang w:val="en-AU"/>
        </w:rPr>
        <w:t>Mental Health, Alcohol and Drug Directorate</w:t>
      </w:r>
      <w:r>
        <w:rPr>
          <w:rFonts w:ascii="Gill Sans MT" w:hAnsi="Gill Sans MT"/>
          <w:lang w:val="en-AU"/>
        </w:rPr>
        <w:br/>
      </w:r>
      <w:r w:rsidRPr="00294707">
        <w:rPr>
          <w:rFonts w:ascii="Gill Sans MT" w:hAnsi="Gill Sans MT"/>
          <w:lang w:val="en-AU"/>
        </w:rPr>
        <w:t xml:space="preserve">Department of Health </w:t>
      </w:r>
      <w:r>
        <w:rPr>
          <w:rFonts w:ascii="Gill Sans MT" w:hAnsi="Gill Sans MT"/>
          <w:lang w:val="en-AU"/>
        </w:rPr>
        <w:br/>
      </w:r>
      <w:r w:rsidRPr="00294707">
        <w:rPr>
          <w:rFonts w:ascii="Gill Sans MT" w:hAnsi="Gill Sans MT"/>
          <w:lang w:val="en-AU"/>
        </w:rPr>
        <w:t>GPO Box 125</w:t>
      </w:r>
      <w:r>
        <w:rPr>
          <w:rFonts w:ascii="Gill Sans MT" w:hAnsi="Gill Sans MT"/>
          <w:lang w:val="en-AU"/>
        </w:rPr>
        <w:br/>
      </w:r>
      <w:r w:rsidRPr="00294707">
        <w:rPr>
          <w:rFonts w:ascii="Gill Sans MT" w:hAnsi="Gill Sans MT"/>
          <w:lang w:val="en-AU"/>
        </w:rPr>
        <w:t xml:space="preserve">Hobart Tasmania 7001 </w:t>
      </w:r>
      <w:r>
        <w:rPr>
          <w:rFonts w:ascii="Gill Sans MT" w:hAnsi="Gill Sans MT"/>
          <w:lang w:val="en-AU"/>
        </w:rPr>
        <w:br/>
      </w:r>
      <w:r w:rsidRPr="00294707">
        <w:rPr>
          <w:rFonts w:ascii="Gill Sans MT" w:hAnsi="Gill Sans MT"/>
          <w:lang w:val="en-AU"/>
        </w:rPr>
        <w:t>Telephone: + 61 3 6166 0781</w:t>
      </w:r>
    </w:p>
    <w:p w14:paraId="0F8EE624" w14:textId="77777777" w:rsidR="00CF3E56" w:rsidRPr="00294707" w:rsidRDefault="004A4A7A" w:rsidP="00CC0DBB">
      <w:pPr>
        <w:pStyle w:val="Disclaimer"/>
        <w:spacing w:before="0"/>
        <w:ind w:left="284" w:right="4536"/>
        <w:rPr>
          <w:rFonts w:ascii="Gill Sans MT" w:hAnsi="Gill Sans MT"/>
          <w:lang w:val="en-AU"/>
        </w:rPr>
      </w:pPr>
      <w:hyperlink r:id="rId9" w:history="1">
        <w:r w:rsidR="00CF3E56" w:rsidRPr="000C2AEA">
          <w:rPr>
            <w:rStyle w:val="Hyperlink"/>
            <w:rFonts w:ascii="Gill Sans MT" w:hAnsi="Gill Sans MT"/>
            <w:lang w:val="en-AU"/>
          </w:rPr>
          <w:t>director.mhadd@health.tas.gov.au</w:t>
        </w:r>
      </w:hyperlink>
      <w:r w:rsidR="00CF3E56">
        <w:rPr>
          <w:rFonts w:ascii="Gill Sans MT" w:hAnsi="Gill Sans MT"/>
          <w:lang w:val="en-AU"/>
        </w:rPr>
        <w:t xml:space="preserve"> </w:t>
      </w:r>
    </w:p>
    <w:p w14:paraId="781FA773" w14:textId="77777777" w:rsidR="00CF3E56" w:rsidRDefault="00CF3E56" w:rsidP="00CC0DBB">
      <w:pPr>
        <w:pStyle w:val="Disclaimer"/>
        <w:spacing w:before="0"/>
        <w:ind w:left="283" w:right="4536"/>
        <w:rPr>
          <w:rFonts w:ascii="Gill Sans MT" w:hAnsi="Gill Sans MT"/>
          <w:lang w:val="en-AU"/>
        </w:rPr>
      </w:pPr>
      <w:r w:rsidRPr="00294707">
        <w:rPr>
          <w:rFonts w:ascii="Gill Sans MT" w:hAnsi="Gill Sans MT"/>
          <w:lang w:val="en-AU"/>
        </w:rPr>
        <w:t xml:space="preserve">Website: </w:t>
      </w:r>
      <w:hyperlink r:id="rId10" w:history="1">
        <w:r w:rsidRPr="000C2AEA">
          <w:rPr>
            <w:rStyle w:val="Hyperlink"/>
            <w:rFonts w:ascii="Gill Sans MT" w:hAnsi="Gill Sans MT"/>
            <w:lang w:val="en-AU"/>
          </w:rPr>
          <w:t>http://www.healths.tas.gov.au</w:t>
        </w:r>
      </w:hyperlink>
      <w:r>
        <w:rPr>
          <w:rFonts w:ascii="Gill Sans MT" w:hAnsi="Gill Sans MT"/>
          <w:lang w:val="en-AU"/>
        </w:rPr>
        <w:t xml:space="preserve"> </w:t>
      </w:r>
      <w:r w:rsidRPr="00294707">
        <w:rPr>
          <w:rFonts w:ascii="Gill Sans MT" w:hAnsi="Gill Sans MT"/>
          <w:lang w:val="en-AU"/>
        </w:rPr>
        <w:t xml:space="preserve"> </w:t>
      </w:r>
    </w:p>
    <w:p w14:paraId="7167E5B4" w14:textId="77777777" w:rsidR="00CF3E56" w:rsidRPr="00294707" w:rsidRDefault="00CF3E56" w:rsidP="00CC0DBB">
      <w:pPr>
        <w:pStyle w:val="Disclaimer"/>
        <w:spacing w:before="0"/>
        <w:ind w:left="283" w:right="4536"/>
        <w:rPr>
          <w:rFonts w:ascii="Gill Sans MT" w:hAnsi="Gill Sans MT"/>
          <w:lang w:val="en-AU"/>
        </w:rPr>
      </w:pPr>
      <w:r>
        <w:rPr>
          <w:rFonts w:ascii="Gill Sans MT" w:hAnsi="Gill Sans MT"/>
          <w:lang w:val="en-AU"/>
        </w:rPr>
        <w:t xml:space="preserve">Tasmanian Drug Strategy website: </w:t>
      </w:r>
      <w:hyperlink r:id="rId11" w:history="1">
        <w:r w:rsidRPr="000652E9">
          <w:rPr>
            <w:rStyle w:val="Hyperlink"/>
            <w:rFonts w:ascii="Gill Sans MT" w:hAnsi="Gill Sans MT"/>
            <w:lang w:val="en-AU"/>
          </w:rPr>
          <w:t>http://www.drugstrategy.dhhs.tas.gov.au</w:t>
        </w:r>
      </w:hyperlink>
      <w:r>
        <w:rPr>
          <w:rFonts w:ascii="Gill Sans MT" w:hAnsi="Gill Sans MT"/>
          <w:lang w:val="en-AU"/>
        </w:rPr>
        <w:t xml:space="preserve"> </w:t>
      </w:r>
    </w:p>
    <w:p w14:paraId="7F8DEE9F" w14:textId="77777777" w:rsidR="00CF3E56" w:rsidRPr="00294707" w:rsidRDefault="00CF3E56" w:rsidP="00921F79">
      <w:pPr>
        <w:widowControl w:val="0"/>
        <w:spacing w:line="240" w:lineRule="auto"/>
        <w:ind w:right="3968"/>
        <w:rPr>
          <w:rFonts w:cs="GillSans-Light"/>
          <w:color w:val="000000"/>
          <w:sz w:val="20"/>
          <w:szCs w:val="18"/>
        </w:rPr>
      </w:pPr>
      <w:r w:rsidRPr="00294707">
        <w:rPr>
          <w:rFonts w:cs="GillSans-Light"/>
          <w:color w:val="000000"/>
          <w:sz w:val="20"/>
          <w:szCs w:val="18"/>
        </w:rPr>
        <w:t>This docu</w:t>
      </w:r>
      <w:r>
        <w:rPr>
          <w:rFonts w:cs="GillSans-Light"/>
          <w:color w:val="000000"/>
          <w:sz w:val="20"/>
          <w:szCs w:val="18"/>
        </w:rPr>
        <w:t>ment was produced by the Intera</w:t>
      </w:r>
      <w:r w:rsidRPr="00294707">
        <w:rPr>
          <w:rFonts w:cs="GillSans-Light"/>
          <w:color w:val="000000"/>
          <w:sz w:val="20"/>
          <w:szCs w:val="18"/>
        </w:rPr>
        <w:t>gency Working Group on Drugs on behalf of the Tasmanian Government.</w:t>
      </w:r>
    </w:p>
    <w:p w14:paraId="6D279BC9" w14:textId="7E9A0375" w:rsidR="006B64D9" w:rsidRPr="006B64D9" w:rsidRDefault="00CF3E56" w:rsidP="002B3050">
      <w:pPr>
        <w:widowControl w:val="0"/>
        <w:spacing w:line="240" w:lineRule="auto"/>
        <w:ind w:right="4536"/>
        <w:sectPr w:rsidR="006B64D9" w:rsidRPr="006B64D9" w:rsidSect="00F078F8">
          <w:pgSz w:w="11906" w:h="16838" w:code="9"/>
          <w:pgMar w:top="907" w:right="1134" w:bottom="1247" w:left="1134" w:header="709" w:footer="709" w:gutter="0"/>
          <w:cols w:space="708"/>
          <w:docGrid w:linePitch="360"/>
        </w:sectPr>
      </w:pPr>
      <w:r w:rsidRPr="00294707">
        <w:rPr>
          <w:rFonts w:cs="GillSans-Light"/>
          <w:color w:val="000000"/>
          <w:sz w:val="20"/>
          <w:szCs w:val="18"/>
        </w:rPr>
        <w:t xml:space="preserve">In developing this document, the Mental Health, Alcohol and Drug Directorate would like to acknowledge the contribution of </w:t>
      </w:r>
      <w:r>
        <w:rPr>
          <w:rFonts w:cs="GillSans-Light"/>
          <w:color w:val="000000"/>
          <w:sz w:val="20"/>
          <w:szCs w:val="18"/>
        </w:rPr>
        <w:t>Tasmanian Government Agencies and Non-Government Organisations</w:t>
      </w:r>
      <w:r w:rsidRPr="00294707">
        <w:rPr>
          <w:rFonts w:cs="GillSans-Light"/>
          <w:color w:val="000000"/>
          <w:sz w:val="20"/>
          <w:szCs w:val="18"/>
        </w:rPr>
        <w:t xml:space="preserve"> from which some of this m</w:t>
      </w:r>
      <w:r>
        <w:rPr>
          <w:rFonts w:cs="GillSans-Light"/>
          <w:color w:val="000000"/>
          <w:sz w:val="20"/>
          <w:szCs w:val="18"/>
        </w:rPr>
        <w:t>aterial was drawn or adapted</w:t>
      </w:r>
      <w:r w:rsidRPr="00294707">
        <w:rPr>
          <w:rFonts w:cs="GillSans-Light"/>
          <w:color w:val="000000"/>
          <w:sz w:val="20"/>
          <w:szCs w:val="18"/>
        </w:rPr>
        <w:t>.</w:t>
      </w:r>
      <w:r w:rsidR="009B2BF9">
        <w:br w:type="page"/>
      </w:r>
    </w:p>
    <w:p w14:paraId="23906CA7" w14:textId="77777777" w:rsidR="00265A90" w:rsidRDefault="00265A90" w:rsidP="00964180">
      <w:pPr>
        <w:pStyle w:val="Contentsheading"/>
        <w:pageBreakBefore w:val="0"/>
        <w:widowControl w:val="0"/>
        <w:spacing w:before="0" w:after="140" w:line="300" w:lineRule="atLeast"/>
      </w:pPr>
      <w:bookmarkStart w:id="1" w:name="bmContentsBegin"/>
      <w:bookmarkEnd w:id="1"/>
      <w:r>
        <w:lastRenderedPageBreak/>
        <w:t>Contents</w:t>
      </w:r>
    </w:p>
    <w:p w14:paraId="25E0626F" w14:textId="44BCB282" w:rsidR="00E56E1A" w:rsidRDefault="009133D5">
      <w:pPr>
        <w:pStyle w:val="TOC1"/>
        <w:rPr>
          <w:rFonts w:asciiTheme="minorHAnsi" w:eastAsiaTheme="minorEastAsia" w:hAnsiTheme="minorHAnsi" w:cstheme="minorBidi"/>
          <w:b w:val="0"/>
          <w:szCs w:val="22"/>
          <w:lang w:eastAsia="en-AU"/>
        </w:rPr>
      </w:pPr>
      <w:r>
        <w:rPr>
          <w:rFonts w:cs="Arial"/>
        </w:rPr>
        <w:fldChar w:fldCharType="begin"/>
      </w:r>
      <w:r w:rsidR="00410E61">
        <w:rPr>
          <w:rFonts w:cs="Arial"/>
        </w:rPr>
        <w:instrText xml:space="preserve"> TOC \f \h \z \t "Heading 1,1,Heading 2,2,Heading 1 (numbered),1,Heading 2 (numbered),2" </w:instrText>
      </w:r>
      <w:r>
        <w:rPr>
          <w:rFonts w:cs="Arial"/>
        </w:rPr>
        <w:fldChar w:fldCharType="separate"/>
      </w:r>
      <w:hyperlink w:anchor="_Toc32915489" w:history="1">
        <w:r w:rsidR="00E56E1A" w:rsidRPr="001247AB">
          <w:rPr>
            <w:rStyle w:val="Hyperlink"/>
          </w:rPr>
          <w:t>Foreword</w:t>
        </w:r>
        <w:r w:rsidR="00E56E1A">
          <w:rPr>
            <w:webHidden/>
          </w:rPr>
          <w:tab/>
        </w:r>
        <w:r w:rsidR="00E56E1A">
          <w:rPr>
            <w:webHidden/>
          </w:rPr>
          <w:fldChar w:fldCharType="begin"/>
        </w:r>
        <w:r w:rsidR="00E56E1A">
          <w:rPr>
            <w:webHidden/>
          </w:rPr>
          <w:instrText xml:space="preserve"> PAGEREF _Toc32915489 \h </w:instrText>
        </w:r>
        <w:r w:rsidR="00E56E1A">
          <w:rPr>
            <w:webHidden/>
          </w:rPr>
        </w:r>
        <w:r w:rsidR="00E56E1A">
          <w:rPr>
            <w:webHidden/>
          </w:rPr>
          <w:fldChar w:fldCharType="separate"/>
        </w:r>
        <w:r w:rsidR="00E948C0">
          <w:rPr>
            <w:webHidden/>
          </w:rPr>
          <w:t>4</w:t>
        </w:r>
        <w:r w:rsidR="00E56E1A">
          <w:rPr>
            <w:webHidden/>
          </w:rPr>
          <w:fldChar w:fldCharType="end"/>
        </w:r>
      </w:hyperlink>
    </w:p>
    <w:p w14:paraId="2C2CF87E" w14:textId="19E85F14" w:rsidR="00E56E1A" w:rsidRDefault="004A4A7A">
      <w:pPr>
        <w:pStyle w:val="TOC1"/>
        <w:rPr>
          <w:rFonts w:asciiTheme="minorHAnsi" w:eastAsiaTheme="minorEastAsia" w:hAnsiTheme="minorHAnsi" w:cstheme="minorBidi"/>
          <w:b w:val="0"/>
          <w:szCs w:val="22"/>
          <w:lang w:eastAsia="en-AU"/>
        </w:rPr>
      </w:pPr>
      <w:hyperlink w:anchor="_Toc32915490" w:history="1">
        <w:r w:rsidR="00E56E1A" w:rsidRPr="001247AB">
          <w:rPr>
            <w:rStyle w:val="Hyperlink"/>
          </w:rPr>
          <w:t>Background</w:t>
        </w:r>
        <w:r w:rsidR="00E56E1A">
          <w:rPr>
            <w:webHidden/>
          </w:rPr>
          <w:tab/>
        </w:r>
        <w:r w:rsidR="00E56E1A">
          <w:rPr>
            <w:webHidden/>
          </w:rPr>
          <w:fldChar w:fldCharType="begin"/>
        </w:r>
        <w:r w:rsidR="00E56E1A">
          <w:rPr>
            <w:webHidden/>
          </w:rPr>
          <w:instrText xml:space="preserve"> PAGEREF _Toc32915490 \h </w:instrText>
        </w:r>
        <w:r w:rsidR="00E56E1A">
          <w:rPr>
            <w:webHidden/>
          </w:rPr>
        </w:r>
        <w:r w:rsidR="00E56E1A">
          <w:rPr>
            <w:webHidden/>
          </w:rPr>
          <w:fldChar w:fldCharType="separate"/>
        </w:r>
        <w:r w:rsidR="00E948C0">
          <w:rPr>
            <w:webHidden/>
          </w:rPr>
          <w:t>5</w:t>
        </w:r>
        <w:r w:rsidR="00E56E1A">
          <w:rPr>
            <w:webHidden/>
          </w:rPr>
          <w:fldChar w:fldCharType="end"/>
        </w:r>
      </w:hyperlink>
    </w:p>
    <w:p w14:paraId="5445CE24" w14:textId="0F2E5A0A" w:rsidR="00E56E1A" w:rsidRDefault="004A4A7A">
      <w:pPr>
        <w:pStyle w:val="TOC1"/>
        <w:rPr>
          <w:rFonts w:asciiTheme="minorHAnsi" w:eastAsiaTheme="minorEastAsia" w:hAnsiTheme="minorHAnsi" w:cstheme="minorBidi"/>
          <w:b w:val="0"/>
          <w:szCs w:val="22"/>
          <w:lang w:eastAsia="en-AU"/>
        </w:rPr>
      </w:pPr>
      <w:hyperlink w:anchor="_Toc32915491" w:history="1">
        <w:r w:rsidR="00E56E1A" w:rsidRPr="001247AB">
          <w:rPr>
            <w:rStyle w:val="Hyperlink"/>
          </w:rPr>
          <w:t>Summary of findings and discussion</w:t>
        </w:r>
        <w:r w:rsidR="00E56E1A">
          <w:rPr>
            <w:webHidden/>
          </w:rPr>
          <w:tab/>
        </w:r>
        <w:r w:rsidR="00E56E1A">
          <w:rPr>
            <w:webHidden/>
          </w:rPr>
          <w:fldChar w:fldCharType="begin"/>
        </w:r>
        <w:r w:rsidR="00E56E1A">
          <w:rPr>
            <w:webHidden/>
          </w:rPr>
          <w:instrText xml:space="preserve"> PAGEREF _Toc32915491 \h </w:instrText>
        </w:r>
        <w:r w:rsidR="00E56E1A">
          <w:rPr>
            <w:webHidden/>
          </w:rPr>
        </w:r>
        <w:r w:rsidR="00E56E1A">
          <w:rPr>
            <w:webHidden/>
          </w:rPr>
          <w:fldChar w:fldCharType="separate"/>
        </w:r>
        <w:r w:rsidR="00E948C0">
          <w:rPr>
            <w:webHidden/>
          </w:rPr>
          <w:t>6</w:t>
        </w:r>
        <w:r w:rsidR="00E56E1A">
          <w:rPr>
            <w:webHidden/>
          </w:rPr>
          <w:fldChar w:fldCharType="end"/>
        </w:r>
      </w:hyperlink>
    </w:p>
    <w:p w14:paraId="15022927" w14:textId="53211D2D" w:rsidR="00E56E1A" w:rsidRDefault="004A4A7A">
      <w:pPr>
        <w:pStyle w:val="TOC2"/>
        <w:rPr>
          <w:rFonts w:asciiTheme="minorHAnsi" w:eastAsiaTheme="minorEastAsia" w:hAnsiTheme="minorHAnsi" w:cstheme="minorBidi"/>
          <w:szCs w:val="22"/>
          <w:lang w:eastAsia="en-AU"/>
        </w:rPr>
      </w:pPr>
      <w:hyperlink w:anchor="_Toc32915492" w:history="1">
        <w:r w:rsidR="00E56E1A" w:rsidRPr="001247AB">
          <w:rPr>
            <w:rStyle w:val="Hyperlink"/>
          </w:rPr>
          <w:t>Desktop review of activities</w:t>
        </w:r>
        <w:r w:rsidR="00E56E1A">
          <w:rPr>
            <w:webHidden/>
          </w:rPr>
          <w:tab/>
        </w:r>
        <w:r w:rsidR="00E56E1A">
          <w:rPr>
            <w:webHidden/>
          </w:rPr>
          <w:fldChar w:fldCharType="begin"/>
        </w:r>
        <w:r w:rsidR="00E56E1A">
          <w:rPr>
            <w:webHidden/>
          </w:rPr>
          <w:instrText xml:space="preserve"> PAGEREF _Toc32915492 \h </w:instrText>
        </w:r>
        <w:r w:rsidR="00E56E1A">
          <w:rPr>
            <w:webHidden/>
          </w:rPr>
        </w:r>
        <w:r w:rsidR="00E56E1A">
          <w:rPr>
            <w:webHidden/>
          </w:rPr>
          <w:fldChar w:fldCharType="separate"/>
        </w:r>
        <w:r w:rsidR="00E948C0">
          <w:rPr>
            <w:webHidden/>
          </w:rPr>
          <w:t>6</w:t>
        </w:r>
        <w:r w:rsidR="00E56E1A">
          <w:rPr>
            <w:webHidden/>
          </w:rPr>
          <w:fldChar w:fldCharType="end"/>
        </w:r>
      </w:hyperlink>
    </w:p>
    <w:p w14:paraId="0EF16A21" w14:textId="3502A4CC" w:rsidR="00E56E1A" w:rsidRDefault="004A4A7A">
      <w:pPr>
        <w:pStyle w:val="TOC2"/>
        <w:rPr>
          <w:rFonts w:asciiTheme="minorHAnsi" w:eastAsiaTheme="minorEastAsia" w:hAnsiTheme="minorHAnsi" w:cstheme="minorBidi"/>
          <w:szCs w:val="22"/>
          <w:lang w:eastAsia="en-AU"/>
        </w:rPr>
      </w:pPr>
      <w:hyperlink w:anchor="_Toc32915493" w:history="1">
        <w:r w:rsidR="00E56E1A" w:rsidRPr="001247AB">
          <w:rPr>
            <w:rStyle w:val="Hyperlink"/>
          </w:rPr>
          <w:t>Summary and analysis of data and trends</w:t>
        </w:r>
        <w:r w:rsidR="00E56E1A">
          <w:rPr>
            <w:webHidden/>
          </w:rPr>
          <w:tab/>
        </w:r>
        <w:r w:rsidR="00E56E1A">
          <w:rPr>
            <w:webHidden/>
          </w:rPr>
          <w:fldChar w:fldCharType="begin"/>
        </w:r>
        <w:r w:rsidR="00E56E1A">
          <w:rPr>
            <w:webHidden/>
          </w:rPr>
          <w:instrText xml:space="preserve"> PAGEREF _Toc32915493 \h </w:instrText>
        </w:r>
        <w:r w:rsidR="00E56E1A">
          <w:rPr>
            <w:webHidden/>
          </w:rPr>
        </w:r>
        <w:r w:rsidR="00E56E1A">
          <w:rPr>
            <w:webHidden/>
          </w:rPr>
          <w:fldChar w:fldCharType="separate"/>
        </w:r>
        <w:r w:rsidR="00E948C0">
          <w:rPr>
            <w:webHidden/>
          </w:rPr>
          <w:t>7</w:t>
        </w:r>
        <w:r w:rsidR="00E56E1A">
          <w:rPr>
            <w:webHidden/>
          </w:rPr>
          <w:fldChar w:fldCharType="end"/>
        </w:r>
      </w:hyperlink>
    </w:p>
    <w:p w14:paraId="5E8126DD" w14:textId="58E34BC0" w:rsidR="00E56E1A" w:rsidRDefault="004A4A7A">
      <w:pPr>
        <w:pStyle w:val="TOC2"/>
        <w:rPr>
          <w:rFonts w:asciiTheme="minorHAnsi" w:eastAsiaTheme="minorEastAsia" w:hAnsiTheme="minorHAnsi" w:cstheme="minorBidi"/>
          <w:szCs w:val="22"/>
          <w:lang w:eastAsia="en-AU"/>
        </w:rPr>
      </w:pPr>
      <w:hyperlink w:anchor="_Toc32915494" w:history="1">
        <w:r w:rsidR="00E56E1A" w:rsidRPr="001247AB">
          <w:rPr>
            <w:rStyle w:val="Hyperlink"/>
          </w:rPr>
          <w:t>Conclusions and way forward</w:t>
        </w:r>
        <w:r w:rsidR="00E56E1A">
          <w:rPr>
            <w:webHidden/>
          </w:rPr>
          <w:tab/>
        </w:r>
        <w:r w:rsidR="00E56E1A">
          <w:rPr>
            <w:webHidden/>
          </w:rPr>
          <w:fldChar w:fldCharType="begin"/>
        </w:r>
        <w:r w:rsidR="00E56E1A">
          <w:rPr>
            <w:webHidden/>
          </w:rPr>
          <w:instrText xml:space="preserve"> PAGEREF _Toc32915494 \h </w:instrText>
        </w:r>
        <w:r w:rsidR="00E56E1A">
          <w:rPr>
            <w:webHidden/>
          </w:rPr>
        </w:r>
        <w:r w:rsidR="00E56E1A">
          <w:rPr>
            <w:webHidden/>
          </w:rPr>
          <w:fldChar w:fldCharType="separate"/>
        </w:r>
        <w:r w:rsidR="00E948C0">
          <w:rPr>
            <w:webHidden/>
          </w:rPr>
          <w:t>9</w:t>
        </w:r>
        <w:r w:rsidR="00E56E1A">
          <w:rPr>
            <w:webHidden/>
          </w:rPr>
          <w:fldChar w:fldCharType="end"/>
        </w:r>
      </w:hyperlink>
    </w:p>
    <w:p w14:paraId="1BBCD2F1" w14:textId="38460F46" w:rsidR="00E56E1A" w:rsidRDefault="004A4A7A">
      <w:pPr>
        <w:pStyle w:val="TOC1"/>
        <w:rPr>
          <w:rFonts w:asciiTheme="minorHAnsi" w:eastAsiaTheme="minorEastAsia" w:hAnsiTheme="minorHAnsi" w:cstheme="minorBidi"/>
          <w:b w:val="0"/>
          <w:szCs w:val="22"/>
          <w:lang w:eastAsia="en-AU"/>
        </w:rPr>
      </w:pPr>
      <w:hyperlink w:anchor="_Toc32915495" w:history="1">
        <w:r w:rsidR="00E56E1A" w:rsidRPr="001247AB">
          <w:rPr>
            <w:rStyle w:val="Hyperlink"/>
          </w:rPr>
          <w:t>Activities under the key priority areas</w:t>
        </w:r>
        <w:r w:rsidR="00E56E1A">
          <w:rPr>
            <w:webHidden/>
          </w:rPr>
          <w:tab/>
        </w:r>
        <w:r w:rsidR="00E56E1A">
          <w:rPr>
            <w:webHidden/>
          </w:rPr>
          <w:fldChar w:fldCharType="begin"/>
        </w:r>
        <w:r w:rsidR="00E56E1A">
          <w:rPr>
            <w:webHidden/>
          </w:rPr>
          <w:instrText xml:space="preserve"> PAGEREF _Toc32915495 \h </w:instrText>
        </w:r>
        <w:r w:rsidR="00E56E1A">
          <w:rPr>
            <w:webHidden/>
          </w:rPr>
        </w:r>
        <w:r w:rsidR="00E56E1A">
          <w:rPr>
            <w:webHidden/>
          </w:rPr>
          <w:fldChar w:fldCharType="separate"/>
        </w:r>
        <w:r w:rsidR="00E948C0">
          <w:rPr>
            <w:webHidden/>
          </w:rPr>
          <w:t>11</w:t>
        </w:r>
        <w:r w:rsidR="00E56E1A">
          <w:rPr>
            <w:webHidden/>
          </w:rPr>
          <w:fldChar w:fldCharType="end"/>
        </w:r>
      </w:hyperlink>
    </w:p>
    <w:p w14:paraId="35F5152F" w14:textId="00F57D3C" w:rsidR="00E56E1A" w:rsidRDefault="004A4A7A">
      <w:pPr>
        <w:pStyle w:val="TOC1"/>
        <w:rPr>
          <w:rFonts w:asciiTheme="minorHAnsi" w:eastAsiaTheme="minorEastAsia" w:hAnsiTheme="minorHAnsi" w:cstheme="minorBidi"/>
          <w:b w:val="0"/>
          <w:szCs w:val="22"/>
          <w:lang w:eastAsia="en-AU"/>
        </w:rPr>
      </w:pPr>
      <w:hyperlink w:anchor="_Toc32915496" w:history="1">
        <w:r w:rsidR="00E56E1A" w:rsidRPr="001247AB">
          <w:rPr>
            <w:rStyle w:val="Hyperlink"/>
          </w:rPr>
          <w:t>Appendix 1</w:t>
        </w:r>
        <w:r w:rsidR="00E56E1A">
          <w:rPr>
            <w:webHidden/>
          </w:rPr>
          <w:tab/>
        </w:r>
        <w:r w:rsidR="00E56E1A">
          <w:rPr>
            <w:webHidden/>
          </w:rPr>
          <w:fldChar w:fldCharType="begin"/>
        </w:r>
        <w:r w:rsidR="00E56E1A">
          <w:rPr>
            <w:webHidden/>
          </w:rPr>
          <w:instrText xml:space="preserve"> PAGEREF _Toc32915496 \h </w:instrText>
        </w:r>
        <w:r w:rsidR="00E56E1A">
          <w:rPr>
            <w:webHidden/>
          </w:rPr>
        </w:r>
        <w:r w:rsidR="00E56E1A">
          <w:rPr>
            <w:webHidden/>
          </w:rPr>
          <w:fldChar w:fldCharType="separate"/>
        </w:r>
        <w:r w:rsidR="00E948C0">
          <w:rPr>
            <w:webHidden/>
          </w:rPr>
          <w:t>22</w:t>
        </w:r>
        <w:r w:rsidR="00E56E1A">
          <w:rPr>
            <w:webHidden/>
          </w:rPr>
          <w:fldChar w:fldCharType="end"/>
        </w:r>
      </w:hyperlink>
    </w:p>
    <w:p w14:paraId="163A774E" w14:textId="6D4C29D2" w:rsidR="00E56E1A" w:rsidRDefault="004A4A7A">
      <w:pPr>
        <w:pStyle w:val="TOC2"/>
        <w:rPr>
          <w:rFonts w:asciiTheme="minorHAnsi" w:eastAsiaTheme="minorEastAsia" w:hAnsiTheme="minorHAnsi" w:cstheme="minorBidi"/>
          <w:szCs w:val="22"/>
          <w:lang w:eastAsia="en-AU"/>
        </w:rPr>
      </w:pPr>
      <w:hyperlink w:anchor="_Toc32915497" w:history="1">
        <w:r w:rsidR="00E56E1A" w:rsidRPr="001247AB">
          <w:rPr>
            <w:rStyle w:val="Hyperlink"/>
          </w:rPr>
          <w:t>Tasmanian alcohol, tobacco and other drugs use data</w:t>
        </w:r>
        <w:r w:rsidR="00E56E1A">
          <w:rPr>
            <w:webHidden/>
          </w:rPr>
          <w:tab/>
        </w:r>
        <w:r w:rsidR="00E56E1A">
          <w:rPr>
            <w:webHidden/>
          </w:rPr>
          <w:fldChar w:fldCharType="begin"/>
        </w:r>
        <w:r w:rsidR="00E56E1A">
          <w:rPr>
            <w:webHidden/>
          </w:rPr>
          <w:instrText xml:space="preserve"> PAGEREF _Toc32915497 \h </w:instrText>
        </w:r>
        <w:r w:rsidR="00E56E1A">
          <w:rPr>
            <w:webHidden/>
          </w:rPr>
        </w:r>
        <w:r w:rsidR="00E56E1A">
          <w:rPr>
            <w:webHidden/>
          </w:rPr>
          <w:fldChar w:fldCharType="separate"/>
        </w:r>
        <w:r w:rsidR="00E948C0">
          <w:rPr>
            <w:webHidden/>
          </w:rPr>
          <w:t>22</w:t>
        </w:r>
        <w:r w:rsidR="00E56E1A">
          <w:rPr>
            <w:webHidden/>
          </w:rPr>
          <w:fldChar w:fldCharType="end"/>
        </w:r>
      </w:hyperlink>
    </w:p>
    <w:p w14:paraId="5BFFACE6" w14:textId="35E09FD4" w:rsidR="00E56E1A" w:rsidRDefault="004A4A7A">
      <w:pPr>
        <w:pStyle w:val="TOC1"/>
        <w:rPr>
          <w:rFonts w:asciiTheme="minorHAnsi" w:eastAsiaTheme="minorEastAsia" w:hAnsiTheme="minorHAnsi" w:cstheme="minorBidi"/>
          <w:b w:val="0"/>
          <w:szCs w:val="22"/>
          <w:lang w:eastAsia="en-AU"/>
        </w:rPr>
      </w:pPr>
      <w:hyperlink w:anchor="_Toc32915498" w:history="1">
        <w:r w:rsidR="00E56E1A" w:rsidRPr="001247AB">
          <w:rPr>
            <w:rStyle w:val="Hyperlink"/>
          </w:rPr>
          <w:t>References</w:t>
        </w:r>
        <w:r w:rsidR="00E56E1A">
          <w:rPr>
            <w:webHidden/>
          </w:rPr>
          <w:tab/>
        </w:r>
        <w:r w:rsidR="00E56E1A">
          <w:rPr>
            <w:webHidden/>
          </w:rPr>
          <w:fldChar w:fldCharType="begin"/>
        </w:r>
        <w:r w:rsidR="00E56E1A">
          <w:rPr>
            <w:webHidden/>
          </w:rPr>
          <w:instrText xml:space="preserve"> PAGEREF _Toc32915498 \h </w:instrText>
        </w:r>
        <w:r w:rsidR="00E56E1A">
          <w:rPr>
            <w:webHidden/>
          </w:rPr>
        </w:r>
        <w:r w:rsidR="00E56E1A">
          <w:rPr>
            <w:webHidden/>
          </w:rPr>
          <w:fldChar w:fldCharType="separate"/>
        </w:r>
        <w:r w:rsidR="00E948C0">
          <w:rPr>
            <w:webHidden/>
          </w:rPr>
          <w:t>41</w:t>
        </w:r>
        <w:r w:rsidR="00E56E1A">
          <w:rPr>
            <w:webHidden/>
          </w:rPr>
          <w:fldChar w:fldCharType="end"/>
        </w:r>
      </w:hyperlink>
    </w:p>
    <w:p w14:paraId="30353362" w14:textId="62EFD58D" w:rsidR="00265A90" w:rsidRDefault="009133D5" w:rsidP="00964180">
      <w:pPr>
        <w:pStyle w:val="TOC1"/>
        <w:widowControl w:val="0"/>
        <w:spacing w:before="0"/>
      </w:pPr>
      <w:r>
        <w:rPr>
          <w:rFonts w:cs="Arial"/>
        </w:rPr>
        <w:fldChar w:fldCharType="end"/>
      </w:r>
    </w:p>
    <w:p w14:paraId="040115EA" w14:textId="77777777" w:rsidR="00265A90" w:rsidRDefault="00265A90" w:rsidP="004647FE">
      <w:pPr>
        <w:widowControl w:val="0"/>
        <w:jc w:val="center"/>
      </w:pPr>
    </w:p>
    <w:p w14:paraId="38B26748" w14:textId="5CE11D8B" w:rsidR="007E6D98" w:rsidRDefault="004647FE" w:rsidP="004647FE">
      <w:pPr>
        <w:widowControl w:val="0"/>
        <w:tabs>
          <w:tab w:val="clear" w:pos="567"/>
          <w:tab w:val="center" w:pos="4819"/>
        </w:tabs>
        <w:sectPr w:rsidR="007E6D98" w:rsidSect="00F078F8">
          <w:headerReference w:type="even" r:id="rId12"/>
          <w:headerReference w:type="default" r:id="rId13"/>
          <w:footerReference w:type="even" r:id="rId14"/>
          <w:footerReference w:type="default" r:id="rId15"/>
          <w:headerReference w:type="first" r:id="rId16"/>
          <w:pgSz w:w="11906" w:h="16838" w:code="9"/>
          <w:pgMar w:top="907" w:right="1134" w:bottom="1247" w:left="1134" w:header="709" w:footer="709" w:gutter="0"/>
          <w:cols w:space="708"/>
          <w:docGrid w:linePitch="360"/>
        </w:sectPr>
      </w:pPr>
      <w:r>
        <w:tab/>
      </w:r>
    </w:p>
    <w:p w14:paraId="2F31149E" w14:textId="77777777" w:rsidR="00265A90" w:rsidRDefault="0034401B" w:rsidP="00964180">
      <w:pPr>
        <w:pStyle w:val="Heading1"/>
        <w:keepNext w:val="0"/>
        <w:pageBreakBefore w:val="0"/>
        <w:widowControl w:val="0"/>
        <w:spacing w:before="0"/>
      </w:pPr>
      <w:bookmarkStart w:id="2" w:name="bmContentsEnd"/>
      <w:bookmarkStart w:id="3" w:name="_Toc32915489"/>
      <w:bookmarkEnd w:id="2"/>
      <w:r>
        <w:lastRenderedPageBreak/>
        <w:t>Foreword</w:t>
      </w:r>
      <w:bookmarkEnd w:id="3"/>
    </w:p>
    <w:p w14:paraId="154D9BE4" w14:textId="456E0190" w:rsidR="00BB4FDA" w:rsidRPr="00F4660E" w:rsidRDefault="00BB4FDA" w:rsidP="00B03490">
      <w:pPr>
        <w:widowControl w:val="0"/>
        <w:tabs>
          <w:tab w:val="clear" w:pos="567"/>
          <w:tab w:val="left" w:pos="0"/>
        </w:tabs>
        <w:spacing w:line="280" w:lineRule="atLeast"/>
      </w:pPr>
      <w:r w:rsidRPr="00F4660E">
        <w:t xml:space="preserve">The Tasmanian Drug Strategy 2013-2018 (TDS) </w:t>
      </w:r>
      <w:r>
        <w:t>did</w:t>
      </w:r>
      <w:r w:rsidRPr="00F4660E">
        <w:t xml:space="preserve"> not seek to establish a new policy direction for Tasmania in response to the use of alcohol, tobacco and other drugs.  It </w:t>
      </w:r>
      <w:r>
        <w:t>sought</w:t>
      </w:r>
      <w:r w:rsidRPr="00F4660E">
        <w:t xml:space="preserve"> to build upon previous </w:t>
      </w:r>
      <w:r>
        <w:t>iterations of the TDS.</w:t>
      </w:r>
      <w:r w:rsidR="007B145E">
        <w:t xml:space="preserve"> </w:t>
      </w:r>
      <w:r>
        <w:t xml:space="preserve">Its goal </w:t>
      </w:r>
      <w:r w:rsidRPr="000D0F0E">
        <w:t>remained to prevent or reduce the harmful effects of alcohol, tobacco and other drugs</w:t>
      </w:r>
      <w:r w:rsidRPr="00F4660E">
        <w:t xml:space="preserve"> use in Tasmania</w:t>
      </w:r>
      <w:r w:rsidR="00F00120">
        <w:t>.</w:t>
      </w:r>
    </w:p>
    <w:p w14:paraId="3B6AADA2" w14:textId="77777777" w:rsidR="00390B37" w:rsidRDefault="00665239" w:rsidP="00B03490">
      <w:pPr>
        <w:widowControl w:val="0"/>
        <w:spacing w:line="280" w:lineRule="atLeast"/>
      </w:pPr>
      <w:r>
        <w:t>Under its Terms of Reference, the</w:t>
      </w:r>
      <w:r w:rsidR="00BB4FDA" w:rsidRPr="00C064CF">
        <w:rPr>
          <w:rFonts w:cstheme="minorHAnsi"/>
        </w:rPr>
        <w:t xml:space="preserve"> </w:t>
      </w:r>
      <w:r w:rsidR="002F41E4">
        <w:t>Tasmanian Interagency Working Group on Drugs (IAWGD) i</w:t>
      </w:r>
      <w:r w:rsidR="001A7C06">
        <w:rPr>
          <w:rFonts w:cstheme="minorHAnsi"/>
        </w:rPr>
        <w:t xml:space="preserve">s </w:t>
      </w:r>
      <w:r w:rsidR="00BB4FDA" w:rsidRPr="00C064CF">
        <w:rPr>
          <w:rFonts w:cstheme="minorHAnsi"/>
        </w:rPr>
        <w:t xml:space="preserve">responsible for </w:t>
      </w:r>
      <w:r w:rsidR="001A7C06">
        <w:rPr>
          <w:rFonts w:cstheme="minorHAnsi"/>
        </w:rPr>
        <w:t>monitoring drug use trends and harms in Tasmania, and for implementing, monitoring, progressing and reporting on progress of the TDS.</w:t>
      </w:r>
      <w:r w:rsidR="00BB4FDA" w:rsidRPr="009D7ED6">
        <w:t xml:space="preserve">  </w:t>
      </w:r>
      <w:r w:rsidR="00BB4FDA">
        <w:t xml:space="preserve">The IAWGD determined that a formal evaluation </w:t>
      </w:r>
      <w:r w:rsidR="00D321EA">
        <w:t xml:space="preserve">of the current TDS </w:t>
      </w:r>
      <w:r w:rsidR="00BB4FDA">
        <w:t xml:space="preserve">would not be </w:t>
      </w:r>
      <w:r w:rsidR="00390B37">
        <w:t>undertaken but</w:t>
      </w:r>
      <w:r w:rsidR="00BB4FDA">
        <w:t xml:space="preserve"> </w:t>
      </w:r>
      <w:r w:rsidR="001A7C06">
        <w:t>tasked</w:t>
      </w:r>
      <w:r w:rsidR="00D321EA">
        <w:t xml:space="preserve"> t</w:t>
      </w:r>
      <w:r w:rsidR="001A7C06">
        <w:t>he</w:t>
      </w:r>
      <w:r w:rsidR="00D321EA">
        <w:t xml:space="preserve"> secretariat </w:t>
      </w:r>
      <w:r w:rsidR="00390B37">
        <w:t>to collate a</w:t>
      </w:r>
      <w:r w:rsidR="00D321EA">
        <w:t xml:space="preserve"> desk top review of </w:t>
      </w:r>
      <w:r w:rsidR="00D321EA">
        <w:rPr>
          <w:rFonts w:cs="Arial"/>
        </w:rPr>
        <w:t>actions and activities</w:t>
      </w:r>
      <w:r w:rsidR="001A7C06">
        <w:rPr>
          <w:rFonts w:cs="Arial"/>
        </w:rPr>
        <w:t xml:space="preserve"> </w:t>
      </w:r>
      <w:r w:rsidR="00D321EA">
        <w:rPr>
          <w:rFonts w:cs="Arial"/>
        </w:rPr>
        <w:t xml:space="preserve">and </w:t>
      </w:r>
      <w:r w:rsidR="00D321EA">
        <w:t>available data</w:t>
      </w:r>
      <w:r w:rsidR="001A7C06">
        <w:t xml:space="preserve">, </w:t>
      </w:r>
      <w:r w:rsidR="00D321EA">
        <w:t>with input from members agencies</w:t>
      </w:r>
      <w:r w:rsidR="00BB4FDA">
        <w:t>.</w:t>
      </w:r>
      <w:r w:rsidR="00D321EA">
        <w:t xml:space="preserve"> </w:t>
      </w:r>
    </w:p>
    <w:p w14:paraId="0693F6D9" w14:textId="0C416587" w:rsidR="00390B37" w:rsidRDefault="00390B37" w:rsidP="00B03490">
      <w:pPr>
        <w:widowControl w:val="0"/>
        <w:spacing w:line="280" w:lineRule="atLeast"/>
      </w:pPr>
      <w:r>
        <w:t xml:space="preserve">This report provides a summary of </w:t>
      </w:r>
      <w:r w:rsidR="0080618D">
        <w:t xml:space="preserve">some of the </w:t>
      </w:r>
      <w:r>
        <w:t xml:space="preserve">activities that have been undertaken in Tasmania linked to the key priority areas of the TDS.   The alcohol, tobacco and other drugs use data section (Appendix 1) provides a summary of data and reports, some of which will be used to inform performance measures, outcomes and data sets for the new </w:t>
      </w:r>
      <w:r w:rsidR="00270E3F">
        <w:t>TDS</w:t>
      </w:r>
      <w:r>
        <w:t xml:space="preserve">. </w:t>
      </w:r>
    </w:p>
    <w:p w14:paraId="39EBCAA4" w14:textId="41953CBE" w:rsidR="00560B01" w:rsidRDefault="00A7390D" w:rsidP="00A7390D">
      <w:pPr>
        <w:widowControl w:val="0"/>
        <w:spacing w:line="280" w:lineRule="atLeast"/>
      </w:pPr>
      <w:r>
        <w:t>This</w:t>
      </w:r>
      <w:r w:rsidRPr="009D7ED6">
        <w:t xml:space="preserve"> report </w:t>
      </w:r>
      <w:r>
        <w:t>has also been commissioned</w:t>
      </w:r>
      <w:r w:rsidRPr="009D7ED6">
        <w:t xml:space="preserve"> to assist to inform the development of </w:t>
      </w:r>
      <w:r>
        <w:t>the new Tasmanian Drug Strategy 2020-2026</w:t>
      </w:r>
      <w:r w:rsidRPr="009D7ED6">
        <w:t xml:space="preserve">.  </w:t>
      </w:r>
      <w:r w:rsidR="007B145E">
        <w:t>As noted in the summary</w:t>
      </w:r>
      <w:r w:rsidR="00E872B6">
        <w:t>,</w:t>
      </w:r>
      <w:r w:rsidR="007B145E">
        <w:t xml:space="preserve"> and conclusions and way forward sections of this report, available data shows some positive and not so positive </w:t>
      </w:r>
      <w:r w:rsidR="00560B01">
        <w:t>trends in Tasmania in the use of alcohol, tobacco and other drugs</w:t>
      </w:r>
      <w:r w:rsidR="00FB280A">
        <w:t>, and the impacts across Government</w:t>
      </w:r>
      <w:r w:rsidR="00560B01">
        <w:t xml:space="preserve">.  It also notes some ongoing limitations in access to timely and reliable data. </w:t>
      </w:r>
    </w:p>
    <w:p w14:paraId="757191E2" w14:textId="6AA222F2" w:rsidR="00390B37" w:rsidRDefault="00390B37" w:rsidP="00B03490">
      <w:pPr>
        <w:widowControl w:val="0"/>
        <w:spacing w:line="280" w:lineRule="atLeast"/>
      </w:pPr>
      <w:r>
        <w:t>Ideally the data and other information should be able to tell us what progress has been made to meet the goal and aims of the TDS</w:t>
      </w:r>
      <w:r w:rsidR="00560B01">
        <w:t>, and its sub-strategies</w:t>
      </w:r>
      <w:r>
        <w:t xml:space="preserve">.  The current TDS lacks measures and indicators, and </w:t>
      </w:r>
      <w:r w:rsidR="00756C54">
        <w:t>identification of</w:t>
      </w:r>
      <w:r>
        <w:t xml:space="preserve"> specific and timely data </w:t>
      </w:r>
      <w:r w:rsidR="00756C54">
        <w:t>to</w:t>
      </w:r>
      <w:r>
        <w:t xml:space="preserve"> demonstrate whether activities undertaken have specifically addressed the goal and aims. </w:t>
      </w:r>
      <w:r w:rsidR="00A7390D">
        <w:t>This will be considered in development of the new TDS in 2020.</w:t>
      </w:r>
    </w:p>
    <w:p w14:paraId="3EDB06A8" w14:textId="0705EE05" w:rsidR="00560B01" w:rsidRDefault="00560B01" w:rsidP="00B03490">
      <w:pPr>
        <w:widowControl w:val="0"/>
        <w:spacing w:line="280" w:lineRule="atLeast"/>
      </w:pPr>
      <w:r>
        <w:t xml:space="preserve">The challenge for the IAWGD in the development of the new TDS in 2020 will be to further analyse </w:t>
      </w:r>
      <w:r w:rsidR="00950876">
        <w:t xml:space="preserve">and consider the implications of </w:t>
      </w:r>
      <w:r>
        <w:t>the information in this report</w:t>
      </w:r>
      <w:r w:rsidR="00950876">
        <w:t>, to determine which range of activities and initiatives should be maintained</w:t>
      </w:r>
      <w:r w:rsidR="00756C54">
        <w:t xml:space="preserve"> and enhanced</w:t>
      </w:r>
      <w:r w:rsidR="00FB280A">
        <w:t xml:space="preserve"> or what new initiatives need to be explored, </w:t>
      </w:r>
      <w:r w:rsidR="00756C54">
        <w:t>and to identify corresponding outcome measures, indicators and data sources.</w:t>
      </w:r>
    </w:p>
    <w:p w14:paraId="335C470D" w14:textId="69238E4E" w:rsidR="00390B37" w:rsidRDefault="00390B37" w:rsidP="00B03490">
      <w:pPr>
        <w:widowControl w:val="0"/>
        <w:spacing w:line="280" w:lineRule="atLeast"/>
        <w:rPr>
          <w:rFonts w:cstheme="minorHAnsi"/>
        </w:rPr>
      </w:pPr>
      <w:r>
        <w:rPr>
          <w:rFonts w:cstheme="minorHAnsi"/>
        </w:rPr>
        <w:t>Regardless</w:t>
      </w:r>
      <w:r w:rsidR="00756C54">
        <w:rPr>
          <w:rFonts w:cstheme="minorHAnsi"/>
        </w:rPr>
        <w:t xml:space="preserve"> of any limitations, </w:t>
      </w:r>
      <w:r w:rsidR="00270E3F">
        <w:rPr>
          <w:rFonts w:cstheme="minorHAnsi"/>
        </w:rPr>
        <w:t xml:space="preserve">this report reflects the ongoing work being undertaken to </w:t>
      </w:r>
      <w:r w:rsidR="00270E3F" w:rsidRPr="000D0F0E">
        <w:t>prevent or reduce the harmful effects of alcohol, tobacco and other drugs</w:t>
      </w:r>
      <w:r w:rsidR="00270E3F" w:rsidRPr="00F4660E">
        <w:t xml:space="preserve"> use in Tasmania</w:t>
      </w:r>
      <w:r w:rsidR="00270E3F">
        <w:t>.</w:t>
      </w:r>
    </w:p>
    <w:p w14:paraId="385C964E" w14:textId="3C224339" w:rsidR="0080618D" w:rsidRDefault="00E56E1A" w:rsidP="00E56E1A">
      <w:pPr>
        <w:widowControl w:val="0"/>
        <w:tabs>
          <w:tab w:val="clear" w:pos="567"/>
          <w:tab w:val="left" w:pos="1861"/>
          <w:tab w:val="left" w:pos="2581"/>
        </w:tabs>
        <w:rPr>
          <w:rFonts w:cstheme="minorHAnsi"/>
        </w:rPr>
      </w:pPr>
      <w:r>
        <w:rPr>
          <w:rFonts w:cstheme="minorHAnsi"/>
        </w:rPr>
        <w:tab/>
      </w:r>
      <w:r>
        <w:rPr>
          <w:rFonts w:cstheme="minorHAnsi"/>
        </w:rPr>
        <w:tab/>
      </w:r>
    </w:p>
    <w:p w14:paraId="761E9550" w14:textId="700263DB" w:rsidR="00BB4FDA" w:rsidRPr="0060216C" w:rsidRDefault="00F00120" w:rsidP="00A960D5">
      <w:pPr>
        <w:widowControl w:val="0"/>
        <w:tabs>
          <w:tab w:val="left" w:pos="2581"/>
        </w:tabs>
        <w:rPr>
          <w:rFonts w:cstheme="minorHAnsi"/>
        </w:rPr>
      </w:pPr>
      <w:r>
        <w:rPr>
          <w:rFonts w:cstheme="minorHAnsi"/>
        </w:rPr>
        <w:t>Ross Smith</w:t>
      </w:r>
      <w:r w:rsidR="00A960D5">
        <w:rPr>
          <w:rFonts w:cstheme="minorHAnsi"/>
        </w:rPr>
        <w:tab/>
      </w:r>
    </w:p>
    <w:p w14:paraId="0E5304DE" w14:textId="43E0AD3B" w:rsidR="00BB4FDA" w:rsidRDefault="00BB4FDA" w:rsidP="00964180">
      <w:pPr>
        <w:widowControl w:val="0"/>
        <w:rPr>
          <w:rFonts w:cstheme="minorHAnsi"/>
        </w:rPr>
      </w:pPr>
    </w:p>
    <w:p w14:paraId="1D628B53" w14:textId="77777777" w:rsidR="0080618D" w:rsidRDefault="0080618D" w:rsidP="00964180">
      <w:pPr>
        <w:widowControl w:val="0"/>
        <w:rPr>
          <w:rFonts w:cstheme="minorHAnsi"/>
        </w:rPr>
      </w:pPr>
    </w:p>
    <w:p w14:paraId="21EE7438" w14:textId="77777777" w:rsidR="00390B37" w:rsidRDefault="00BB4FDA" w:rsidP="00964180">
      <w:pPr>
        <w:widowControl w:val="0"/>
        <w:rPr>
          <w:rFonts w:cstheme="minorHAnsi"/>
        </w:rPr>
      </w:pPr>
      <w:r w:rsidRPr="0060216C">
        <w:rPr>
          <w:rFonts w:cstheme="minorHAnsi"/>
        </w:rPr>
        <w:t>Chair - Intera</w:t>
      </w:r>
      <w:r>
        <w:rPr>
          <w:rFonts w:cstheme="minorHAnsi"/>
        </w:rPr>
        <w:t>gency Working Group on Drugs</w:t>
      </w:r>
    </w:p>
    <w:p w14:paraId="53ED4B54" w14:textId="2CACD33D" w:rsidR="00BB4FDA" w:rsidRPr="00390B37" w:rsidRDefault="001D3B94" w:rsidP="00964180">
      <w:pPr>
        <w:widowControl w:val="0"/>
        <w:rPr>
          <w:rFonts w:cstheme="minorHAnsi"/>
        </w:rPr>
      </w:pPr>
      <w:r>
        <w:rPr>
          <w:rFonts w:cstheme="minorHAnsi"/>
        </w:rPr>
        <w:t>4</w:t>
      </w:r>
      <w:r w:rsidR="00F00120">
        <w:rPr>
          <w:rFonts w:cstheme="minorHAnsi"/>
        </w:rPr>
        <w:t xml:space="preserve"> December</w:t>
      </w:r>
      <w:r w:rsidR="00390B37">
        <w:rPr>
          <w:rFonts w:cstheme="minorHAnsi"/>
        </w:rPr>
        <w:t xml:space="preserve"> 2019</w:t>
      </w:r>
      <w:r w:rsidR="00BB4FDA" w:rsidRPr="0060216C">
        <w:rPr>
          <w:rFonts w:cstheme="minorHAnsi"/>
          <w:b/>
          <w:sz w:val="28"/>
        </w:rPr>
        <w:br w:type="page"/>
      </w:r>
    </w:p>
    <w:p w14:paraId="516FBE31" w14:textId="77777777" w:rsidR="00265A90" w:rsidRDefault="00C1216B" w:rsidP="00964180">
      <w:pPr>
        <w:pStyle w:val="Heading1"/>
        <w:keepNext w:val="0"/>
        <w:pageBreakBefore w:val="0"/>
        <w:widowControl w:val="0"/>
        <w:spacing w:before="0"/>
      </w:pPr>
      <w:bookmarkStart w:id="4" w:name="_Toc32915490"/>
      <w:r>
        <w:lastRenderedPageBreak/>
        <w:t>Background</w:t>
      </w:r>
      <w:bookmarkEnd w:id="4"/>
    </w:p>
    <w:p w14:paraId="46E02E20" w14:textId="3FADD5D8" w:rsidR="00F4660E" w:rsidRDefault="00F4660E" w:rsidP="00FA0EC1">
      <w:pPr>
        <w:widowControl w:val="0"/>
        <w:spacing w:line="280" w:lineRule="atLeast"/>
        <w:rPr>
          <w:lang w:eastAsia="en-AU"/>
        </w:rPr>
      </w:pPr>
      <w:r>
        <w:t xml:space="preserve">Consistent with the National Drug Strategy </w:t>
      </w:r>
      <w:r w:rsidR="00E347A8">
        <w:t xml:space="preserve">(NDS) </w:t>
      </w:r>
      <w:r>
        <w:t>and</w:t>
      </w:r>
      <w:r w:rsidRPr="00F4660E">
        <w:t xml:space="preserve"> previous iterations</w:t>
      </w:r>
      <w:r>
        <w:t xml:space="preserve">, the </w:t>
      </w:r>
      <w:r w:rsidR="000B619B" w:rsidRPr="00F4660E">
        <w:t>Tasmanian Drug Strategy 2013-2018 (TDS)</w:t>
      </w:r>
      <w:r w:rsidRPr="00F4660E">
        <w:t xml:space="preserve"> maintain</w:t>
      </w:r>
      <w:r>
        <w:t>ed</w:t>
      </w:r>
      <w:r w:rsidRPr="00F4660E">
        <w:t xml:space="preserve"> the concept of harm minimisation as its underlying concept.  </w:t>
      </w:r>
      <w:r w:rsidRPr="00F4660E">
        <w:rPr>
          <w:lang w:eastAsia="en-AU"/>
        </w:rPr>
        <w:t xml:space="preserve">This concept is based on reducing the supply, or availability, of alcohol, tobacco and other drugs; reducing demand through prevention, early intervention and treatment; and reducing the harms associated with the use of alcohol, tobacco and other drugs.  </w:t>
      </w:r>
      <w:bookmarkStart w:id="5" w:name="_Toc475011791"/>
    </w:p>
    <w:p w14:paraId="215650AD" w14:textId="77777777" w:rsidR="00F4660E" w:rsidRPr="00F4660E" w:rsidRDefault="00F4660E" w:rsidP="00FA0EC1">
      <w:pPr>
        <w:widowControl w:val="0"/>
        <w:spacing w:line="280" w:lineRule="atLeast"/>
      </w:pPr>
      <w:r w:rsidRPr="000D0F0E">
        <w:t>The goal</w:t>
      </w:r>
      <w:bookmarkEnd w:id="5"/>
      <w:r w:rsidRPr="000D0F0E">
        <w:t xml:space="preserve"> of the TDS remained to prevent or reduce the harmful effects of alcohol, tobacco and other drugs</w:t>
      </w:r>
      <w:r w:rsidRPr="00F4660E">
        <w:t xml:space="preserve"> use in Tasmania</w:t>
      </w:r>
      <w:r w:rsidR="00BB4FDA">
        <w:t>.</w:t>
      </w:r>
    </w:p>
    <w:p w14:paraId="0D9F30AC" w14:textId="77777777" w:rsidR="0090163C" w:rsidRPr="00F4660E" w:rsidRDefault="0090163C" w:rsidP="0090163C">
      <w:pPr>
        <w:widowControl w:val="0"/>
        <w:spacing w:line="280" w:lineRule="atLeast"/>
      </w:pPr>
      <w:r>
        <w:t xml:space="preserve">The TDS was developed </w:t>
      </w:r>
      <w:r w:rsidRPr="000D0F0E">
        <w:t>to prevent or reduce the harmful effects of alcohol, tobacco and other drugs</w:t>
      </w:r>
      <w:r w:rsidRPr="00F4660E">
        <w:t xml:space="preserve"> use in Tasmania, aiming to:</w:t>
      </w:r>
    </w:p>
    <w:p w14:paraId="2F1ADF3F" w14:textId="77777777" w:rsidR="0090163C" w:rsidRPr="00F4660E" w:rsidRDefault="0090163C" w:rsidP="0090163C">
      <w:pPr>
        <w:pStyle w:val="ListParagraph"/>
        <w:widowControl w:val="0"/>
        <w:numPr>
          <w:ilvl w:val="0"/>
          <w:numId w:val="26"/>
        </w:numPr>
        <w:spacing w:before="0" w:after="140" w:line="280" w:lineRule="atLeast"/>
        <w:ind w:left="714" w:hanging="357"/>
        <w:contextualSpacing w:val="0"/>
        <w:rPr>
          <w:rFonts w:ascii="Gill Sans MT" w:hAnsi="Gill Sans MT"/>
          <w:sz w:val="22"/>
        </w:rPr>
      </w:pPr>
      <w:r w:rsidRPr="00F4660E">
        <w:rPr>
          <w:rFonts w:ascii="Gill Sans MT" w:hAnsi="Gill Sans MT"/>
          <w:sz w:val="22"/>
        </w:rPr>
        <w:t>Significantly improve the health of Tasmanians by reducing the number of Tasmanians who smoke, drink alcohol at risky levels, misuse pharmaceuticals or use illicit drugs</w:t>
      </w:r>
    </w:p>
    <w:p w14:paraId="34F34689" w14:textId="77777777" w:rsidR="0090163C" w:rsidRPr="00F4660E" w:rsidRDefault="0090163C" w:rsidP="0090163C">
      <w:pPr>
        <w:pStyle w:val="ListParagraph"/>
        <w:widowControl w:val="0"/>
        <w:numPr>
          <w:ilvl w:val="0"/>
          <w:numId w:val="26"/>
        </w:numPr>
        <w:spacing w:before="0" w:after="140" w:line="280" w:lineRule="atLeast"/>
        <w:ind w:left="714" w:hanging="357"/>
        <w:contextualSpacing w:val="0"/>
        <w:rPr>
          <w:rFonts w:ascii="Gill Sans MT" w:hAnsi="Gill Sans MT"/>
          <w:sz w:val="22"/>
        </w:rPr>
      </w:pPr>
      <w:r w:rsidRPr="00F4660E">
        <w:rPr>
          <w:rFonts w:ascii="Gill Sans MT" w:hAnsi="Gill Sans MT"/>
          <w:sz w:val="22"/>
        </w:rPr>
        <w:t xml:space="preserve">Support preventative and developmental health approaches to alcohol, tobacco and </w:t>
      </w:r>
      <w:proofErr w:type="gramStart"/>
      <w:r w:rsidRPr="00F4660E">
        <w:rPr>
          <w:rFonts w:ascii="Gill Sans MT" w:hAnsi="Gill Sans MT"/>
          <w:sz w:val="22"/>
        </w:rPr>
        <w:t>other</w:t>
      </w:r>
      <w:proofErr w:type="gramEnd"/>
      <w:r w:rsidRPr="00F4660E">
        <w:rPr>
          <w:rFonts w:ascii="Gill Sans MT" w:hAnsi="Gill Sans MT"/>
          <w:sz w:val="22"/>
        </w:rPr>
        <w:t xml:space="preserve"> drugs use </w:t>
      </w:r>
    </w:p>
    <w:p w14:paraId="73E5B6A8" w14:textId="77777777" w:rsidR="0090163C" w:rsidRPr="00F4660E" w:rsidRDefault="0090163C" w:rsidP="0090163C">
      <w:pPr>
        <w:pStyle w:val="ListParagraph"/>
        <w:widowControl w:val="0"/>
        <w:numPr>
          <w:ilvl w:val="0"/>
          <w:numId w:val="26"/>
        </w:numPr>
        <w:spacing w:before="0" w:after="140" w:line="280" w:lineRule="atLeast"/>
        <w:ind w:left="714" w:hanging="357"/>
        <w:contextualSpacing w:val="0"/>
        <w:rPr>
          <w:rFonts w:ascii="Gill Sans MT" w:hAnsi="Gill Sans MT"/>
          <w:sz w:val="22"/>
        </w:rPr>
      </w:pPr>
      <w:r w:rsidRPr="00F4660E">
        <w:rPr>
          <w:rFonts w:ascii="Gill Sans MT" w:hAnsi="Gill Sans MT"/>
          <w:sz w:val="22"/>
        </w:rPr>
        <w:t>Improve individual and community safety</w:t>
      </w:r>
    </w:p>
    <w:p w14:paraId="4E9D3069" w14:textId="77777777" w:rsidR="0090163C" w:rsidRPr="00F4660E" w:rsidRDefault="0090163C" w:rsidP="0090163C">
      <w:pPr>
        <w:pStyle w:val="ListParagraph"/>
        <w:widowControl w:val="0"/>
        <w:numPr>
          <w:ilvl w:val="0"/>
          <w:numId w:val="26"/>
        </w:numPr>
        <w:spacing w:before="0" w:after="140" w:line="280" w:lineRule="atLeast"/>
        <w:ind w:left="714" w:hanging="357"/>
        <w:contextualSpacing w:val="0"/>
        <w:rPr>
          <w:rFonts w:ascii="Gill Sans MT" w:hAnsi="Gill Sans MT"/>
          <w:sz w:val="22"/>
        </w:rPr>
      </w:pPr>
      <w:r w:rsidRPr="00F4660E">
        <w:rPr>
          <w:rFonts w:ascii="Gill Sans MT" w:hAnsi="Gill Sans MT"/>
          <w:sz w:val="22"/>
        </w:rPr>
        <w:t xml:space="preserve">Reduce the harms and human, health, economic and social costs associated with alcohol, tobacco and </w:t>
      </w:r>
      <w:proofErr w:type="gramStart"/>
      <w:r w:rsidRPr="00F4660E">
        <w:rPr>
          <w:rFonts w:ascii="Gill Sans MT" w:hAnsi="Gill Sans MT"/>
          <w:sz w:val="22"/>
        </w:rPr>
        <w:t>other</w:t>
      </w:r>
      <w:proofErr w:type="gramEnd"/>
      <w:r w:rsidRPr="00F4660E">
        <w:rPr>
          <w:rFonts w:ascii="Gill Sans MT" w:hAnsi="Gill Sans MT"/>
          <w:sz w:val="22"/>
        </w:rPr>
        <w:t xml:space="preserve"> drugs use</w:t>
      </w:r>
    </w:p>
    <w:p w14:paraId="7F56FCD7" w14:textId="77777777" w:rsidR="0090163C" w:rsidRPr="00F4660E" w:rsidRDefault="0090163C" w:rsidP="0090163C">
      <w:pPr>
        <w:pStyle w:val="ListParagraph"/>
        <w:widowControl w:val="0"/>
        <w:numPr>
          <w:ilvl w:val="0"/>
          <w:numId w:val="26"/>
        </w:numPr>
        <w:spacing w:before="0" w:after="140" w:line="280" w:lineRule="atLeast"/>
        <w:ind w:left="714" w:hanging="357"/>
        <w:contextualSpacing w:val="0"/>
        <w:rPr>
          <w:rFonts w:ascii="Gill Sans MT" w:hAnsi="Gill Sans MT"/>
          <w:sz w:val="22"/>
        </w:rPr>
      </w:pPr>
      <w:r w:rsidRPr="00F4660E">
        <w:rPr>
          <w:rFonts w:ascii="Gill Sans MT" w:hAnsi="Gill Sans MT"/>
          <w:sz w:val="22"/>
        </w:rPr>
        <w:t xml:space="preserve">Improve integration of services across government, non-government, the community and private </w:t>
      </w:r>
      <w:proofErr w:type="spellStart"/>
      <w:r w:rsidRPr="00F4660E">
        <w:rPr>
          <w:rFonts w:ascii="Gill Sans MT" w:hAnsi="Gill Sans MT"/>
          <w:sz w:val="22"/>
        </w:rPr>
        <w:t>organisations</w:t>
      </w:r>
      <w:proofErr w:type="spellEnd"/>
      <w:r w:rsidRPr="00F4660E">
        <w:rPr>
          <w:rFonts w:ascii="Gill Sans MT" w:hAnsi="Gill Sans MT"/>
          <w:sz w:val="22"/>
        </w:rPr>
        <w:t xml:space="preserve"> to better support individuals and families</w:t>
      </w:r>
    </w:p>
    <w:p w14:paraId="0761C887" w14:textId="77777777" w:rsidR="00F4660E" w:rsidRPr="00F4660E" w:rsidRDefault="00F4660E" w:rsidP="00FA0EC1">
      <w:pPr>
        <w:widowControl w:val="0"/>
        <w:spacing w:line="280" w:lineRule="atLeast"/>
      </w:pPr>
      <w:r w:rsidRPr="00F4660E">
        <w:t xml:space="preserve">The priorities for the TDS </w:t>
      </w:r>
      <w:r>
        <w:t xml:space="preserve">were </w:t>
      </w:r>
      <w:r w:rsidRPr="00F4660E">
        <w:t>to:</w:t>
      </w:r>
    </w:p>
    <w:p w14:paraId="4D56A80D" w14:textId="77777777" w:rsidR="00F4660E" w:rsidRPr="00F4660E"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 xml:space="preserve">Continue to support initiatives to improve individual and community safety and reduce the human, health, economic and social costs associated with the misuse of alcohol   </w:t>
      </w:r>
    </w:p>
    <w:p w14:paraId="1079DFBB" w14:textId="77777777" w:rsidR="00F4660E" w:rsidRPr="00F4660E"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Continue Tasmania’s commitment to the prevention and reduction of tobacco related harm</w:t>
      </w:r>
    </w:p>
    <w:p w14:paraId="2E88B6B7" w14:textId="77777777" w:rsidR="00F4660E" w:rsidRPr="00F4660E"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 xml:space="preserve">Reduce the supply and use of illegal drugs, both current and emerging, including the use of performance and image enhancing drugs </w:t>
      </w:r>
    </w:p>
    <w:p w14:paraId="4DD663A5" w14:textId="77777777" w:rsidR="00F4660E" w:rsidRPr="00F4660E"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 xml:space="preserve">Reduce the inappropriate use, supply and diversion of pharmaceuticals </w:t>
      </w:r>
    </w:p>
    <w:p w14:paraId="34B990A0" w14:textId="77777777" w:rsidR="00F4660E" w:rsidRPr="00F4660E"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 xml:space="preserve">Support preventative and developmental health approaches to alcohol, tobacco and </w:t>
      </w:r>
      <w:proofErr w:type="gramStart"/>
      <w:r w:rsidRPr="00F4660E">
        <w:rPr>
          <w:rFonts w:ascii="Gill Sans MT" w:hAnsi="Gill Sans MT"/>
          <w:sz w:val="22"/>
        </w:rPr>
        <w:t>other</w:t>
      </w:r>
      <w:proofErr w:type="gramEnd"/>
      <w:r w:rsidRPr="00F4660E">
        <w:rPr>
          <w:rFonts w:ascii="Gill Sans MT" w:hAnsi="Gill Sans MT"/>
          <w:sz w:val="22"/>
        </w:rPr>
        <w:t xml:space="preserve"> drugs use</w:t>
      </w:r>
    </w:p>
    <w:p w14:paraId="4DEE223D" w14:textId="77777777" w:rsidR="00F4660E" w:rsidRPr="00F4660E"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Continue to support evidence-based initiatives and programs, including campaigns that address the risks of alcohol, tobacco and other drugs use including risk use practices</w:t>
      </w:r>
    </w:p>
    <w:p w14:paraId="43A46F60" w14:textId="77777777" w:rsidR="00F4660E" w:rsidRPr="00F4660E"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 xml:space="preserve">Continue to support, promote and monitor the timely and ongoing development and review of effective legislation and regulation in response to alcohol, tobacco and </w:t>
      </w:r>
      <w:proofErr w:type="gramStart"/>
      <w:r w:rsidRPr="00F4660E">
        <w:rPr>
          <w:rFonts w:ascii="Gill Sans MT" w:hAnsi="Gill Sans MT"/>
          <w:sz w:val="22"/>
        </w:rPr>
        <w:t>other</w:t>
      </w:r>
      <w:proofErr w:type="gramEnd"/>
      <w:r w:rsidRPr="00F4660E">
        <w:rPr>
          <w:rFonts w:ascii="Gill Sans MT" w:hAnsi="Gill Sans MT"/>
          <w:sz w:val="22"/>
        </w:rPr>
        <w:t xml:space="preserve"> drugs use</w:t>
      </w:r>
    </w:p>
    <w:p w14:paraId="1651A153" w14:textId="77777777" w:rsidR="00F4660E" w:rsidRPr="00F4660E"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Support programs and initiatives to reduce alcohol and other drugs-related violence, including increasing support for frontline workers (</w:t>
      </w:r>
      <w:proofErr w:type="spellStart"/>
      <w:r w:rsidRPr="00F4660E">
        <w:rPr>
          <w:rFonts w:ascii="Gill Sans MT" w:hAnsi="Gill Sans MT"/>
          <w:sz w:val="22"/>
        </w:rPr>
        <w:t>eg</w:t>
      </w:r>
      <w:proofErr w:type="spellEnd"/>
      <w:r w:rsidRPr="00F4660E">
        <w:rPr>
          <w:rFonts w:ascii="Gill Sans MT" w:hAnsi="Gill Sans MT"/>
          <w:sz w:val="22"/>
        </w:rPr>
        <w:t xml:space="preserve"> Police, Ambulance Officers and Emergency Department personnel) </w:t>
      </w:r>
    </w:p>
    <w:p w14:paraId="54A6B2C3" w14:textId="77777777" w:rsidR="00F4660E" w:rsidRPr="00F4660E"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Strengthen the capacity of the primary health care system in the use of a range of evidence-based screening and brief interventions, to better respond to individuals, families and communities</w:t>
      </w:r>
    </w:p>
    <w:p w14:paraId="1A24B2DE" w14:textId="77777777" w:rsidR="00F4660E" w:rsidRPr="00F4660E"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Increase the range and availability of, and access to, appropriate services for individuals experiencing problematic alcohol, tobacco and other drugs use including for individuals with diverse, complex and high needs</w:t>
      </w:r>
    </w:p>
    <w:p w14:paraId="0CEEA1D4" w14:textId="77777777" w:rsidR="00265A90" w:rsidRPr="000B3069" w:rsidRDefault="00F4660E" w:rsidP="00FA0EC1">
      <w:pPr>
        <w:pStyle w:val="ListParagraph"/>
        <w:widowControl w:val="0"/>
        <w:numPr>
          <w:ilvl w:val="0"/>
          <w:numId w:val="25"/>
        </w:numPr>
        <w:spacing w:before="0" w:after="140" w:line="280" w:lineRule="atLeast"/>
        <w:ind w:left="714" w:hanging="357"/>
        <w:contextualSpacing w:val="0"/>
        <w:rPr>
          <w:rFonts w:ascii="Gill Sans MT" w:hAnsi="Gill Sans MT"/>
          <w:sz w:val="22"/>
        </w:rPr>
      </w:pPr>
      <w:r w:rsidRPr="00F4660E">
        <w:rPr>
          <w:rFonts w:ascii="Gill Sans MT" w:hAnsi="Gill Sans MT"/>
          <w:sz w:val="22"/>
        </w:rPr>
        <w:t>Strengthen evidence-based awareness-raising, effective education initiatives and early interventions in a range of targeted settings, population groups and developmental transition points</w:t>
      </w:r>
    </w:p>
    <w:p w14:paraId="39C2F7D1" w14:textId="77777777" w:rsidR="0034401B" w:rsidRDefault="0034401B" w:rsidP="00FA0EC1">
      <w:pPr>
        <w:pStyle w:val="Heading1"/>
        <w:keepNext w:val="0"/>
        <w:pageBreakBefore w:val="0"/>
        <w:widowControl w:val="0"/>
        <w:spacing w:before="0" w:line="280" w:lineRule="atLeast"/>
      </w:pPr>
      <w:bookmarkStart w:id="6" w:name="_Toc32915491"/>
      <w:r>
        <w:lastRenderedPageBreak/>
        <w:t xml:space="preserve">Summary of findings </w:t>
      </w:r>
      <w:r w:rsidR="00EC331E">
        <w:t>and discussion</w:t>
      </w:r>
      <w:bookmarkEnd w:id="6"/>
    </w:p>
    <w:p w14:paraId="2554B115" w14:textId="2DA28CF0" w:rsidR="00811F75" w:rsidRDefault="00811F75" w:rsidP="00FA0EC1">
      <w:pPr>
        <w:widowControl w:val="0"/>
        <w:spacing w:line="280" w:lineRule="atLeast"/>
      </w:pPr>
      <w:r>
        <w:t xml:space="preserve">Activities under the key priority areas section of this </w:t>
      </w:r>
      <w:r w:rsidR="00346235">
        <w:t xml:space="preserve">report provides a summary of </w:t>
      </w:r>
      <w:r w:rsidR="0034401B">
        <w:t>activities that have been undertaken in Tasmania</w:t>
      </w:r>
      <w:r w:rsidR="00C93425">
        <w:t xml:space="preserve"> </w:t>
      </w:r>
      <w:r w:rsidR="00346235">
        <w:t>linked to</w:t>
      </w:r>
      <w:r w:rsidR="00C93425">
        <w:t xml:space="preserve"> the key priority areas of the TDS.   </w:t>
      </w:r>
      <w:r>
        <w:t xml:space="preserve">Appendix 1 provides Tasmanian </w:t>
      </w:r>
      <w:r w:rsidR="00C93425">
        <w:t>alcohol, tobacco and other drugs use data</w:t>
      </w:r>
      <w:r>
        <w:t xml:space="preserve"> from readily available sources. The summary and analysis of data and trends section below summarises trends from that data which will be considered in development of the new TDS. </w:t>
      </w:r>
    </w:p>
    <w:p w14:paraId="41DC74AD" w14:textId="77777777" w:rsidR="0034401B" w:rsidRDefault="0034401B" w:rsidP="00FA0EC1">
      <w:pPr>
        <w:pStyle w:val="Heading2"/>
        <w:keepNext w:val="0"/>
        <w:widowControl w:val="0"/>
        <w:spacing w:before="0" w:line="280" w:lineRule="atLeast"/>
      </w:pPr>
      <w:bookmarkStart w:id="7" w:name="_Toc32915492"/>
      <w:r>
        <w:t>Desktop review of activities</w:t>
      </w:r>
      <w:bookmarkEnd w:id="7"/>
    </w:p>
    <w:p w14:paraId="77860C60" w14:textId="1A477A92" w:rsidR="00A46B4E" w:rsidRDefault="002D0082" w:rsidP="00FA0EC1">
      <w:pPr>
        <w:widowControl w:val="0"/>
        <w:spacing w:line="280" w:lineRule="atLeast"/>
      </w:pPr>
      <w:r>
        <w:t xml:space="preserve">During the period of the current TDS, </w:t>
      </w:r>
      <w:r w:rsidR="00875B0E">
        <w:t>the Tasmanian Government</w:t>
      </w:r>
      <w:r w:rsidR="00F211D9">
        <w:t xml:space="preserve"> has</w:t>
      </w:r>
      <w:r w:rsidR="00875B0E">
        <w:t xml:space="preserve"> supported </w:t>
      </w:r>
      <w:proofErr w:type="gramStart"/>
      <w:r w:rsidR="00875B0E">
        <w:t>a number of</w:t>
      </w:r>
      <w:proofErr w:type="gramEnd"/>
      <w:r w:rsidR="00875B0E">
        <w:t xml:space="preserve"> reviews and legislative and regulatory changes and has provided increased investment in a range of responses and treatment services.  </w:t>
      </w:r>
    </w:p>
    <w:p w14:paraId="3E861F82" w14:textId="59AF0C2E" w:rsidR="00875B0E" w:rsidRDefault="00875B0E" w:rsidP="00A71DE0">
      <w:pPr>
        <w:widowControl w:val="0"/>
        <w:spacing w:line="280" w:lineRule="atLeast"/>
      </w:pPr>
      <w:r>
        <w:t xml:space="preserve">The Activities under the key priority areas section of this report represent information gathered through IAWGD member agencies and activities reported in the IAWGD Annual Reports, available from the Tasmanian Drug Strategy website </w:t>
      </w:r>
      <w:hyperlink r:id="rId17" w:history="1">
        <w:r w:rsidRPr="00E24EA1">
          <w:rPr>
            <w:rStyle w:val="Hyperlink"/>
          </w:rPr>
          <w:t>Tasmanian Drug Strategy | Tasmani</w:t>
        </w:r>
        <w:r w:rsidRPr="00E24EA1">
          <w:rPr>
            <w:rStyle w:val="Hyperlink"/>
          </w:rPr>
          <w:t>a</w:t>
        </w:r>
        <w:r w:rsidRPr="00E24EA1">
          <w:rPr>
            <w:rStyle w:val="Hyperlink"/>
          </w:rPr>
          <w:t>n Drug Strategy</w:t>
        </w:r>
      </w:hyperlink>
      <w:r>
        <w:t xml:space="preserve">  </w:t>
      </w:r>
      <w:r w:rsidR="00A71DE0">
        <w:t>It</w:t>
      </w:r>
      <w:r>
        <w:t xml:space="preserve"> does not represent the breadth of activity that is occurring across Tasmania</w:t>
      </w:r>
      <w:r w:rsidR="00A71DE0">
        <w:t>. Some examples are provided below.</w:t>
      </w:r>
    </w:p>
    <w:p w14:paraId="2A0C67EA" w14:textId="148DEE14" w:rsidR="00875B0E" w:rsidRPr="00A71DE0" w:rsidRDefault="00875B0E" w:rsidP="006F7697">
      <w:pPr>
        <w:pStyle w:val="ListParagraph"/>
        <w:widowControl w:val="0"/>
        <w:numPr>
          <w:ilvl w:val="0"/>
          <w:numId w:val="72"/>
        </w:numPr>
        <w:spacing w:before="0" w:after="140" w:line="280" w:lineRule="atLeast"/>
        <w:ind w:left="426" w:hanging="426"/>
        <w:contextualSpacing w:val="0"/>
        <w:jc w:val="left"/>
        <w:rPr>
          <w:rFonts w:ascii="Gill Sans MT" w:hAnsi="Gill Sans MT" w:cs="Arial"/>
          <w:i/>
          <w:iCs/>
          <w:sz w:val="22"/>
        </w:rPr>
      </w:pPr>
      <w:r w:rsidRPr="00A71DE0">
        <w:rPr>
          <w:rFonts w:ascii="Gill Sans MT" w:hAnsi="Gill Sans MT"/>
          <w:sz w:val="22"/>
        </w:rPr>
        <w:t xml:space="preserve">The 2012 scoping study of the legislation and regulatory regime in Tasmania for dealing with the sale, supply and demand for alcohol which helped to inform the review of the </w:t>
      </w:r>
      <w:r w:rsidRPr="00A71DE0">
        <w:rPr>
          <w:rFonts w:ascii="Gill Sans MT" w:hAnsi="Gill Sans MT"/>
          <w:i/>
          <w:sz w:val="22"/>
        </w:rPr>
        <w:t>Liquor Licensing Act 1990</w:t>
      </w:r>
      <w:r w:rsidRPr="00A71DE0">
        <w:rPr>
          <w:rFonts w:ascii="Gill Sans MT" w:hAnsi="Gill Sans MT"/>
          <w:sz w:val="22"/>
        </w:rPr>
        <w:t xml:space="preserve">, resulting in the </w:t>
      </w:r>
      <w:r w:rsidRPr="00A71DE0">
        <w:rPr>
          <w:rFonts w:ascii="Gill Sans MT" w:hAnsi="Gill Sans MT"/>
          <w:i/>
          <w:sz w:val="22"/>
        </w:rPr>
        <w:t xml:space="preserve">Liquor Licensing Amendment Bill 2015 </w:t>
      </w:r>
      <w:r w:rsidRPr="00A71DE0">
        <w:rPr>
          <w:rFonts w:ascii="Gill Sans MT" w:hAnsi="Gill Sans MT"/>
          <w:sz w:val="22"/>
        </w:rPr>
        <w:t xml:space="preserve">and </w:t>
      </w:r>
      <w:r w:rsidRPr="00A71DE0">
        <w:rPr>
          <w:rFonts w:ascii="Gill Sans MT" w:hAnsi="Gill Sans MT" w:cs="Arial"/>
          <w:sz w:val="22"/>
        </w:rPr>
        <w:t xml:space="preserve">associated </w:t>
      </w:r>
      <w:r w:rsidRPr="00A71DE0">
        <w:rPr>
          <w:rFonts w:ascii="Gill Sans MT" w:hAnsi="Gill Sans MT" w:cs="Arial"/>
          <w:i/>
          <w:iCs/>
          <w:sz w:val="22"/>
        </w:rPr>
        <w:t xml:space="preserve">Liquor Licensing Regulations 2016, Liquor Licensing (Fees) Amendment Regulations 2016 </w:t>
      </w:r>
      <w:r w:rsidRPr="00A71DE0">
        <w:rPr>
          <w:rFonts w:ascii="Gill Sans MT" w:hAnsi="Gill Sans MT" w:cs="Arial"/>
          <w:iCs/>
          <w:sz w:val="22"/>
        </w:rPr>
        <w:t>and</w:t>
      </w:r>
      <w:r w:rsidRPr="00A71DE0">
        <w:rPr>
          <w:rFonts w:ascii="Gill Sans MT" w:hAnsi="Gill Sans MT" w:cs="Arial"/>
          <w:i/>
          <w:iCs/>
          <w:sz w:val="22"/>
        </w:rPr>
        <w:t xml:space="preserve"> Liquor Licensing (Infringement Notices) Amendment Regulations 2016. </w:t>
      </w:r>
    </w:p>
    <w:p w14:paraId="23F32945" w14:textId="6D60968F" w:rsidR="00875B0E" w:rsidRDefault="00A71DE0" w:rsidP="006F7697">
      <w:pPr>
        <w:pStyle w:val="ListParagraph"/>
        <w:widowControl w:val="0"/>
        <w:numPr>
          <w:ilvl w:val="0"/>
          <w:numId w:val="72"/>
        </w:numPr>
        <w:spacing w:before="0" w:after="140" w:line="280" w:lineRule="atLeast"/>
        <w:ind w:left="426" w:hanging="426"/>
        <w:contextualSpacing w:val="0"/>
        <w:jc w:val="left"/>
        <w:rPr>
          <w:rFonts w:ascii="Gill Sans MT" w:hAnsi="Gill Sans MT"/>
          <w:sz w:val="22"/>
        </w:rPr>
      </w:pPr>
      <w:r w:rsidRPr="00A71DE0">
        <w:rPr>
          <w:rFonts w:ascii="Gill Sans MT" w:hAnsi="Gill Sans MT"/>
          <w:sz w:val="22"/>
        </w:rPr>
        <w:t>The introduction in 2013 of the Mandatory Alcohol Interlock Program (MAIP) for drivers convicted of repeat or high-level drink driving offences.</w:t>
      </w:r>
    </w:p>
    <w:p w14:paraId="2D7CDCB8" w14:textId="7266EDD4" w:rsidR="00A71DE0" w:rsidRDefault="00A71DE0" w:rsidP="006F7697">
      <w:pPr>
        <w:pStyle w:val="ListParagraph"/>
        <w:widowControl w:val="0"/>
        <w:numPr>
          <w:ilvl w:val="0"/>
          <w:numId w:val="72"/>
        </w:numPr>
        <w:spacing w:before="0" w:after="140" w:line="280" w:lineRule="atLeast"/>
        <w:ind w:left="426" w:hanging="426"/>
        <w:contextualSpacing w:val="0"/>
        <w:jc w:val="left"/>
        <w:rPr>
          <w:rFonts w:ascii="Gill Sans MT" w:hAnsi="Gill Sans MT"/>
          <w:sz w:val="22"/>
        </w:rPr>
      </w:pPr>
      <w:r>
        <w:rPr>
          <w:rFonts w:ascii="Gill Sans MT" w:hAnsi="Gill Sans MT"/>
          <w:sz w:val="22"/>
        </w:rPr>
        <w:t xml:space="preserve">Support for the alcohol simulation modelling project led by the Department of Health Public Health Services with The </w:t>
      </w:r>
      <w:r w:rsidRPr="007D0C39">
        <w:rPr>
          <w:rFonts w:ascii="Gill Sans MT" w:hAnsi="Gill Sans MT"/>
          <w:sz w:val="22"/>
        </w:rPr>
        <w:t>Australian Prevention Partnership Centre, Sax Institute of New South Wales to develop a simulation model of alcohol use in Tasmania, to forecast the effectiveness of a variety of approaches to reducing alcohol-related harm and explore what combination of interventions is likely to produce maximum community-wide impact</w:t>
      </w:r>
      <w:r>
        <w:rPr>
          <w:rFonts w:ascii="Gill Sans MT" w:hAnsi="Gill Sans MT"/>
          <w:sz w:val="22"/>
        </w:rPr>
        <w:t>.</w:t>
      </w:r>
    </w:p>
    <w:p w14:paraId="0D86D723" w14:textId="7D8A6C81" w:rsidR="00A71DE0" w:rsidRDefault="00A71DE0" w:rsidP="006F7697">
      <w:pPr>
        <w:pStyle w:val="ListParagraph"/>
        <w:widowControl w:val="0"/>
        <w:numPr>
          <w:ilvl w:val="0"/>
          <w:numId w:val="72"/>
        </w:numPr>
        <w:spacing w:before="0" w:after="140" w:line="280" w:lineRule="atLeast"/>
        <w:ind w:left="426" w:hanging="426"/>
        <w:contextualSpacing w:val="0"/>
        <w:jc w:val="left"/>
        <w:rPr>
          <w:rFonts w:ascii="Gill Sans MT" w:hAnsi="Gill Sans MT"/>
          <w:sz w:val="22"/>
        </w:rPr>
      </w:pPr>
      <w:r>
        <w:rPr>
          <w:rFonts w:ascii="Gill Sans MT" w:hAnsi="Gill Sans MT"/>
          <w:sz w:val="22"/>
        </w:rPr>
        <w:t>The development of the Tasmanian Tobacco Action Plan 2017-2021, and associated activities</w:t>
      </w:r>
      <w:r w:rsidR="007709FE">
        <w:rPr>
          <w:rFonts w:ascii="Gill Sans MT" w:hAnsi="Gill Sans MT"/>
          <w:sz w:val="22"/>
        </w:rPr>
        <w:t>, and complementary to the Healthy Tasmania Five Year Strategic Plan</w:t>
      </w:r>
      <w:r>
        <w:rPr>
          <w:rFonts w:ascii="Gill Sans MT" w:hAnsi="Gill Sans MT"/>
          <w:sz w:val="22"/>
        </w:rPr>
        <w:t>:</w:t>
      </w:r>
    </w:p>
    <w:p w14:paraId="71BEDAB2" w14:textId="0FBB2A63" w:rsidR="00A71DE0" w:rsidRDefault="00A71DE0" w:rsidP="006F7697">
      <w:pPr>
        <w:pStyle w:val="ListParagraph"/>
        <w:widowControl w:val="0"/>
        <w:numPr>
          <w:ilvl w:val="0"/>
          <w:numId w:val="73"/>
        </w:numPr>
        <w:spacing w:before="0" w:after="140" w:line="280" w:lineRule="atLeast"/>
        <w:ind w:left="851" w:hanging="425"/>
        <w:contextualSpacing w:val="0"/>
        <w:jc w:val="left"/>
        <w:rPr>
          <w:rFonts w:ascii="Gill Sans MT" w:hAnsi="Gill Sans MT"/>
          <w:sz w:val="22"/>
        </w:rPr>
      </w:pPr>
      <w:r>
        <w:rPr>
          <w:rFonts w:ascii="Gill Sans MT" w:hAnsi="Gill Sans MT"/>
          <w:sz w:val="22"/>
        </w:rPr>
        <w:t xml:space="preserve"> Smoke Free Young People </w:t>
      </w:r>
      <w:r w:rsidR="007709FE">
        <w:rPr>
          <w:rFonts w:ascii="Gill Sans MT" w:hAnsi="Gill Sans MT"/>
          <w:sz w:val="22"/>
        </w:rPr>
        <w:t xml:space="preserve">Strategy 2019-2021 and </w:t>
      </w:r>
      <w:r>
        <w:rPr>
          <w:rFonts w:ascii="Gill Sans MT" w:hAnsi="Gill Sans MT"/>
          <w:sz w:val="22"/>
        </w:rPr>
        <w:t>working group</w:t>
      </w:r>
      <w:r w:rsidR="007709FE">
        <w:rPr>
          <w:rFonts w:ascii="Gill Sans MT" w:hAnsi="Gill Sans MT"/>
          <w:sz w:val="22"/>
        </w:rPr>
        <w:t>;</w:t>
      </w:r>
      <w:r>
        <w:rPr>
          <w:rFonts w:ascii="Gill Sans MT" w:hAnsi="Gill Sans MT"/>
          <w:sz w:val="22"/>
        </w:rPr>
        <w:t xml:space="preserve"> </w:t>
      </w:r>
    </w:p>
    <w:p w14:paraId="73C02942" w14:textId="1A55D136" w:rsidR="007709FE" w:rsidRDefault="007709FE" w:rsidP="006F7697">
      <w:pPr>
        <w:pStyle w:val="ListParagraph"/>
        <w:widowControl w:val="0"/>
        <w:numPr>
          <w:ilvl w:val="0"/>
          <w:numId w:val="73"/>
        </w:numPr>
        <w:spacing w:before="0" w:after="140" w:line="280" w:lineRule="atLeast"/>
        <w:ind w:left="851" w:hanging="425"/>
        <w:contextualSpacing w:val="0"/>
        <w:jc w:val="left"/>
        <w:rPr>
          <w:rFonts w:ascii="Gill Sans MT" w:hAnsi="Gill Sans MT"/>
          <w:sz w:val="22"/>
        </w:rPr>
      </w:pPr>
      <w:r>
        <w:rPr>
          <w:rFonts w:ascii="Gill Sans MT" w:hAnsi="Gill Sans MT"/>
          <w:sz w:val="22"/>
        </w:rPr>
        <w:t>No-one Left Behind: An action plan to achieve a smoke free Tasmania 2018-2021 and Smoke Free Priority Populations working group targeting population groups with comparatively high smoking rates;</w:t>
      </w:r>
    </w:p>
    <w:p w14:paraId="6622C743" w14:textId="3999D43E" w:rsidR="00A71DE0" w:rsidRPr="007709FE" w:rsidRDefault="007709FE" w:rsidP="006F7697">
      <w:pPr>
        <w:pStyle w:val="ListParagraph"/>
        <w:widowControl w:val="0"/>
        <w:numPr>
          <w:ilvl w:val="0"/>
          <w:numId w:val="73"/>
        </w:numPr>
        <w:spacing w:before="0" w:after="140" w:line="280" w:lineRule="atLeast"/>
        <w:ind w:left="851" w:hanging="425"/>
        <w:contextualSpacing w:val="0"/>
        <w:jc w:val="left"/>
      </w:pPr>
      <w:r w:rsidRPr="007709FE">
        <w:rPr>
          <w:rFonts w:ascii="Gill Sans MT" w:hAnsi="Gill Sans MT"/>
          <w:sz w:val="22"/>
        </w:rPr>
        <w:t xml:space="preserve">Amendments to the </w:t>
      </w:r>
      <w:r w:rsidRPr="007709FE">
        <w:rPr>
          <w:rFonts w:ascii="Gill Sans MT" w:hAnsi="Gill Sans MT"/>
          <w:i/>
          <w:sz w:val="22"/>
        </w:rPr>
        <w:t>Public Health Act 1997</w:t>
      </w:r>
      <w:r w:rsidRPr="007709FE">
        <w:rPr>
          <w:rFonts w:ascii="Gill Sans MT" w:hAnsi="Gill Sans MT"/>
          <w:sz w:val="22"/>
        </w:rPr>
        <w:t xml:space="preserve"> with the </w:t>
      </w:r>
      <w:r w:rsidRPr="007709FE">
        <w:rPr>
          <w:rFonts w:ascii="Gill Sans MT" w:hAnsi="Gill Sans MT"/>
          <w:i/>
          <w:sz w:val="22"/>
        </w:rPr>
        <w:t>Public Health (Healthy Tasmania) Bill 2017</w:t>
      </w:r>
      <w:r w:rsidRPr="007709FE">
        <w:rPr>
          <w:rFonts w:ascii="Gill Sans MT" w:hAnsi="Gill Sans MT"/>
          <w:sz w:val="22"/>
        </w:rPr>
        <w:t xml:space="preserve"> to increase the penalties for the sale and supply of tobacco to a child; </w:t>
      </w:r>
      <w:r>
        <w:rPr>
          <w:rFonts w:ascii="Gill Sans MT" w:hAnsi="Gill Sans MT"/>
          <w:sz w:val="22"/>
        </w:rPr>
        <w:t xml:space="preserve">permit the Director of Public Health to apply a fit and proper person test on </w:t>
      </w:r>
      <w:proofErr w:type="spellStart"/>
      <w:r>
        <w:rPr>
          <w:rFonts w:ascii="Gill Sans MT" w:hAnsi="Gill Sans MT"/>
          <w:sz w:val="22"/>
        </w:rPr>
        <w:t>licence</w:t>
      </w:r>
      <w:proofErr w:type="spellEnd"/>
      <w:r>
        <w:rPr>
          <w:rFonts w:ascii="Gill Sans MT" w:hAnsi="Gill Sans MT"/>
          <w:sz w:val="22"/>
        </w:rPr>
        <w:t xml:space="preserve"> holders; and regulation of e-cigarettes including bans on display and advertising and sale to a child; and use in areas required to be smoke free;</w:t>
      </w:r>
    </w:p>
    <w:p w14:paraId="5D702ECE" w14:textId="3F411E29" w:rsidR="007709FE" w:rsidRPr="007709FE" w:rsidRDefault="007709FE" w:rsidP="006F7697">
      <w:pPr>
        <w:pStyle w:val="ListParagraph"/>
        <w:widowControl w:val="0"/>
        <w:numPr>
          <w:ilvl w:val="0"/>
          <w:numId w:val="73"/>
        </w:numPr>
        <w:spacing w:before="0" w:after="140" w:line="280" w:lineRule="atLeast"/>
        <w:ind w:left="851" w:hanging="425"/>
        <w:contextualSpacing w:val="0"/>
        <w:jc w:val="left"/>
      </w:pPr>
      <w:r>
        <w:rPr>
          <w:rFonts w:ascii="Gill Sans MT" w:hAnsi="Gill Sans MT"/>
          <w:sz w:val="22"/>
        </w:rPr>
        <w:t xml:space="preserve">Increases in </w:t>
      </w:r>
      <w:proofErr w:type="spellStart"/>
      <w:r>
        <w:rPr>
          <w:rFonts w:ascii="Gill Sans MT" w:hAnsi="Gill Sans MT"/>
          <w:sz w:val="22"/>
        </w:rPr>
        <w:t>licence</w:t>
      </w:r>
      <w:proofErr w:type="spellEnd"/>
      <w:r>
        <w:rPr>
          <w:rFonts w:ascii="Gill Sans MT" w:hAnsi="Gill Sans MT"/>
          <w:sz w:val="22"/>
        </w:rPr>
        <w:t xml:space="preserve"> fees;</w:t>
      </w:r>
    </w:p>
    <w:p w14:paraId="402EED5A" w14:textId="5F78A81A" w:rsidR="007709FE" w:rsidRPr="00112CB2" w:rsidRDefault="007709FE" w:rsidP="006F7697">
      <w:pPr>
        <w:pStyle w:val="ListParagraph"/>
        <w:widowControl w:val="0"/>
        <w:numPr>
          <w:ilvl w:val="0"/>
          <w:numId w:val="73"/>
        </w:numPr>
        <w:spacing w:before="0" w:after="140" w:line="280" w:lineRule="atLeast"/>
        <w:ind w:left="851" w:hanging="425"/>
        <w:contextualSpacing w:val="0"/>
        <w:jc w:val="left"/>
      </w:pPr>
      <w:r>
        <w:rPr>
          <w:rFonts w:ascii="Gill Sans MT" w:hAnsi="Gill Sans MT"/>
          <w:sz w:val="22"/>
        </w:rPr>
        <w:t xml:space="preserve">Increases in smoke-free areas around hospital and schools and their </w:t>
      </w:r>
      <w:r w:rsidR="00112CB2">
        <w:rPr>
          <w:rFonts w:ascii="Gill Sans MT" w:hAnsi="Gill Sans MT"/>
          <w:sz w:val="22"/>
        </w:rPr>
        <w:t>surrounds;</w:t>
      </w:r>
    </w:p>
    <w:p w14:paraId="32D5E029" w14:textId="07B982BA" w:rsidR="00112CB2" w:rsidRPr="00112CB2" w:rsidRDefault="00112CB2" w:rsidP="006F7697">
      <w:pPr>
        <w:pStyle w:val="ListParagraph"/>
        <w:widowControl w:val="0"/>
        <w:numPr>
          <w:ilvl w:val="0"/>
          <w:numId w:val="73"/>
        </w:numPr>
        <w:spacing w:before="0" w:after="140" w:line="280" w:lineRule="atLeast"/>
        <w:ind w:left="851" w:hanging="425"/>
        <w:contextualSpacing w:val="0"/>
        <w:jc w:val="left"/>
      </w:pPr>
      <w:r>
        <w:rPr>
          <w:rFonts w:ascii="Gill Sans MT" w:hAnsi="Gill Sans MT"/>
          <w:sz w:val="22"/>
        </w:rPr>
        <w:t>Tasmanian prisons became smoke free in 2015 following a staged implementation process; and</w:t>
      </w:r>
    </w:p>
    <w:p w14:paraId="2BAE60F5" w14:textId="72D8CA32" w:rsidR="00112CB2" w:rsidRPr="00112CB2" w:rsidRDefault="00112CB2" w:rsidP="006F7697">
      <w:pPr>
        <w:pStyle w:val="ListParagraph"/>
        <w:widowControl w:val="0"/>
        <w:numPr>
          <w:ilvl w:val="0"/>
          <w:numId w:val="73"/>
        </w:numPr>
        <w:spacing w:before="0" w:after="140" w:line="280" w:lineRule="atLeast"/>
        <w:ind w:left="851" w:hanging="425"/>
        <w:contextualSpacing w:val="0"/>
        <w:jc w:val="left"/>
      </w:pPr>
      <w:r>
        <w:rPr>
          <w:rFonts w:ascii="Gill Sans MT" w:hAnsi="Gill Sans MT"/>
          <w:sz w:val="22"/>
        </w:rPr>
        <w:t>Delivery of the Smoking Cessation Program brief intervention training to over 5 000 health care workers in public hospitals.</w:t>
      </w:r>
    </w:p>
    <w:p w14:paraId="01D1DBF3" w14:textId="4BE83699" w:rsidR="00112CB2" w:rsidRPr="00112CB2" w:rsidRDefault="00112CB2" w:rsidP="006F7697">
      <w:pPr>
        <w:pStyle w:val="ListParagraph"/>
        <w:widowControl w:val="0"/>
        <w:numPr>
          <w:ilvl w:val="0"/>
          <w:numId w:val="72"/>
        </w:numPr>
        <w:spacing w:before="0" w:after="140" w:line="280" w:lineRule="atLeast"/>
        <w:ind w:left="425" w:hanging="425"/>
        <w:contextualSpacing w:val="0"/>
        <w:jc w:val="left"/>
      </w:pPr>
      <w:r>
        <w:rPr>
          <w:rFonts w:ascii="Gill Sans MT" w:hAnsi="Gill Sans MT"/>
          <w:sz w:val="22"/>
        </w:rPr>
        <w:lastRenderedPageBreak/>
        <w:t xml:space="preserve">Tasmania was the first state or territory </w:t>
      </w:r>
      <w:r w:rsidRPr="00CD4D7F">
        <w:rPr>
          <w:rFonts w:ascii="Gill Sans MT" w:hAnsi="Gill Sans MT"/>
          <w:sz w:val="22"/>
        </w:rPr>
        <w:t xml:space="preserve">to introduce real time reporting and thus monitoring of the reportable pharmaceuticals </w:t>
      </w:r>
      <w:r>
        <w:rPr>
          <w:rFonts w:ascii="Gill Sans MT" w:hAnsi="Gill Sans MT"/>
          <w:sz w:val="22"/>
        </w:rPr>
        <w:t xml:space="preserve">with the introduction of </w:t>
      </w:r>
      <w:r w:rsidRPr="00BF791C">
        <w:rPr>
          <w:rFonts w:ascii="Gill Sans MT" w:hAnsi="Gill Sans MT"/>
          <w:sz w:val="22"/>
        </w:rPr>
        <w:t>DORA</w:t>
      </w:r>
      <w:r w:rsidRPr="00CD4D7F">
        <w:rPr>
          <w:rFonts w:ascii="Gill Sans MT" w:hAnsi="Gill Sans MT"/>
          <w:sz w:val="22"/>
        </w:rPr>
        <w:t xml:space="preserve"> (reportable </w:t>
      </w:r>
      <w:r w:rsidRPr="00CD4D7F">
        <w:rPr>
          <w:rFonts w:ascii="Gill Sans MT" w:hAnsi="Gill Sans MT"/>
          <w:sz w:val="22"/>
          <w:u w:val="single"/>
        </w:rPr>
        <w:t>D</w:t>
      </w:r>
      <w:r w:rsidRPr="00CD4D7F">
        <w:rPr>
          <w:rFonts w:ascii="Gill Sans MT" w:hAnsi="Gill Sans MT"/>
          <w:sz w:val="22"/>
        </w:rPr>
        <w:t xml:space="preserve">rugs and Poisons Information System </w:t>
      </w:r>
      <w:r w:rsidRPr="00CD4D7F">
        <w:rPr>
          <w:rFonts w:ascii="Gill Sans MT" w:hAnsi="Gill Sans MT"/>
          <w:sz w:val="22"/>
          <w:u w:val="single"/>
        </w:rPr>
        <w:t>O</w:t>
      </w:r>
      <w:r w:rsidRPr="00CD4D7F">
        <w:rPr>
          <w:rFonts w:ascii="Gill Sans MT" w:hAnsi="Gill Sans MT"/>
          <w:sz w:val="22"/>
        </w:rPr>
        <w:t xml:space="preserve">nline </w:t>
      </w:r>
      <w:r w:rsidRPr="00CD4D7F">
        <w:rPr>
          <w:rFonts w:ascii="Gill Sans MT" w:hAnsi="Gill Sans MT"/>
          <w:sz w:val="22"/>
          <w:u w:val="single"/>
        </w:rPr>
        <w:t>R</w:t>
      </w:r>
      <w:r w:rsidRPr="00CD4D7F">
        <w:rPr>
          <w:rFonts w:ascii="Gill Sans MT" w:hAnsi="Gill Sans MT"/>
          <w:sz w:val="22"/>
        </w:rPr>
        <w:t xml:space="preserve">emote </w:t>
      </w:r>
      <w:r w:rsidRPr="00CD4D7F">
        <w:rPr>
          <w:rFonts w:ascii="Gill Sans MT" w:hAnsi="Gill Sans MT"/>
          <w:sz w:val="22"/>
          <w:u w:val="single"/>
        </w:rPr>
        <w:t>A</w:t>
      </w:r>
      <w:r w:rsidRPr="00CD4D7F">
        <w:rPr>
          <w:rFonts w:ascii="Gill Sans MT" w:hAnsi="Gill Sans MT"/>
          <w:sz w:val="22"/>
        </w:rPr>
        <w:t>ccess)</w:t>
      </w:r>
      <w:r>
        <w:rPr>
          <w:rFonts w:ascii="Gill Sans MT" w:hAnsi="Gill Sans MT"/>
          <w:sz w:val="22"/>
        </w:rPr>
        <w:t xml:space="preserve"> which</w:t>
      </w:r>
      <w:r w:rsidRPr="00CD4D7F">
        <w:rPr>
          <w:rFonts w:ascii="Gill Sans MT" w:hAnsi="Gill Sans MT"/>
          <w:sz w:val="22"/>
        </w:rPr>
        <w:t xml:space="preserve"> </w:t>
      </w:r>
      <w:r>
        <w:rPr>
          <w:rFonts w:ascii="Gill Sans MT" w:hAnsi="Gill Sans MT"/>
          <w:sz w:val="22"/>
        </w:rPr>
        <w:t>has been progressively rolled out since 2009.</w:t>
      </w:r>
      <w:r w:rsidR="00E7765D">
        <w:rPr>
          <w:rFonts w:ascii="Gill Sans MT" w:hAnsi="Gill Sans MT"/>
          <w:sz w:val="22"/>
        </w:rPr>
        <w:t xml:space="preserve"> </w:t>
      </w:r>
      <w:r w:rsidR="00513012">
        <w:rPr>
          <w:rFonts w:ascii="Gill Sans MT" w:hAnsi="Gill Sans MT"/>
          <w:sz w:val="22"/>
        </w:rPr>
        <w:t xml:space="preserve">The Tasmanian-based Electronic Recording and Reporting of Controlled Drugs (ERRCD) software system was made available by the Commonwealth to all states and territories in 2013. Real time reporting systems have since been made available in Victoria and the Australian Capital Territory, are under development in Western Australia, Queensland and South Australia, and is being supported federally. </w:t>
      </w:r>
    </w:p>
    <w:p w14:paraId="2AD7C83E" w14:textId="55A9A33E" w:rsidR="00112CB2" w:rsidRPr="00112CB2" w:rsidRDefault="00112CB2" w:rsidP="006F7697">
      <w:pPr>
        <w:pStyle w:val="ListParagraph"/>
        <w:widowControl w:val="0"/>
        <w:numPr>
          <w:ilvl w:val="0"/>
          <w:numId w:val="72"/>
        </w:numPr>
        <w:spacing w:before="0" w:after="140" w:line="280" w:lineRule="atLeast"/>
        <w:ind w:left="425" w:hanging="425"/>
        <w:contextualSpacing w:val="0"/>
        <w:jc w:val="left"/>
      </w:pPr>
      <w:r>
        <w:rPr>
          <w:rFonts w:ascii="Gill Sans MT" w:hAnsi="Gill Sans MT"/>
          <w:sz w:val="22"/>
        </w:rPr>
        <w:t>The introduction in 2015 in Hobart and expansion in 2017 in Launceston of the Salvation Army Street Teams project in partnership with Tasmania Police and the Hobart and Launceston City Councils.</w:t>
      </w:r>
    </w:p>
    <w:p w14:paraId="67E85AEA" w14:textId="28ADC1EA" w:rsidR="00112CB2" w:rsidRDefault="006F7697" w:rsidP="006F7697">
      <w:pPr>
        <w:pStyle w:val="ListParagraph"/>
        <w:widowControl w:val="0"/>
        <w:numPr>
          <w:ilvl w:val="0"/>
          <w:numId w:val="72"/>
        </w:numPr>
        <w:spacing w:before="0" w:after="140" w:line="280" w:lineRule="atLeast"/>
        <w:ind w:left="425" w:hanging="425"/>
        <w:contextualSpacing w:val="0"/>
        <w:jc w:val="left"/>
        <w:rPr>
          <w:rFonts w:ascii="Gill Sans MT" w:hAnsi="Gill Sans MT"/>
          <w:sz w:val="22"/>
        </w:rPr>
      </w:pPr>
      <w:r>
        <w:rPr>
          <w:rFonts w:ascii="Gill Sans MT" w:hAnsi="Gill Sans MT"/>
          <w:sz w:val="22"/>
        </w:rPr>
        <w:t>L</w:t>
      </w:r>
      <w:r w:rsidR="00112CB2">
        <w:rPr>
          <w:rFonts w:ascii="Gill Sans MT" w:hAnsi="Gill Sans MT"/>
          <w:sz w:val="22"/>
        </w:rPr>
        <w:t>egislative and regulatory amendments including:</w:t>
      </w:r>
    </w:p>
    <w:p w14:paraId="15B301C4" w14:textId="33BAA6D1" w:rsidR="001F16F0" w:rsidRPr="001F16F0" w:rsidRDefault="001F16F0" w:rsidP="001F16F0">
      <w:pPr>
        <w:pStyle w:val="NormalWeb"/>
        <w:widowControl w:val="0"/>
        <w:numPr>
          <w:ilvl w:val="0"/>
          <w:numId w:val="74"/>
        </w:numPr>
        <w:shd w:val="clear" w:color="auto" w:fill="FFFFFF"/>
        <w:tabs>
          <w:tab w:val="clear" w:pos="567"/>
        </w:tabs>
        <w:spacing w:line="280" w:lineRule="atLeast"/>
        <w:ind w:left="851" w:hanging="425"/>
        <w:rPr>
          <w:rFonts w:ascii="Gill Sans MT" w:hAnsi="Gill Sans MT"/>
          <w:color w:val="000000"/>
          <w:sz w:val="22"/>
        </w:rPr>
      </w:pPr>
      <w:r w:rsidRPr="001F16F0">
        <w:rPr>
          <w:rFonts w:ascii="Gill Sans MT" w:hAnsi="Gill Sans MT"/>
          <w:sz w:val="22"/>
        </w:rPr>
        <w:t xml:space="preserve">An independent review of Part 9 of the </w:t>
      </w:r>
      <w:r w:rsidRPr="001F16F0">
        <w:rPr>
          <w:rFonts w:ascii="Gill Sans MT" w:hAnsi="Gill Sans MT"/>
          <w:i/>
          <w:sz w:val="22"/>
        </w:rPr>
        <w:t xml:space="preserve">Crime (Confiscation of Profits) Act 1993 </w:t>
      </w:r>
      <w:r w:rsidRPr="001F16F0">
        <w:rPr>
          <w:rFonts w:ascii="Gill Sans MT" w:hAnsi="Gill Sans MT"/>
          <w:sz w:val="22"/>
        </w:rPr>
        <w:t xml:space="preserve">which led to the </w:t>
      </w:r>
      <w:r w:rsidRPr="001F16F0">
        <w:rPr>
          <w:rFonts w:ascii="Gill Sans MT" w:hAnsi="Gill Sans MT"/>
          <w:i/>
          <w:color w:val="000000"/>
          <w:sz w:val="22"/>
        </w:rPr>
        <w:t>Crime (Confiscation of Profits) Amendment Act 2018</w:t>
      </w:r>
      <w:r w:rsidRPr="001F16F0">
        <w:rPr>
          <w:rFonts w:ascii="Gill Sans MT" w:hAnsi="Gill Sans MT"/>
          <w:color w:val="000000"/>
          <w:sz w:val="22"/>
        </w:rPr>
        <w:t xml:space="preserve"> </w:t>
      </w:r>
      <w:r>
        <w:rPr>
          <w:rFonts w:ascii="Gill Sans MT" w:hAnsi="Gill Sans MT"/>
          <w:color w:val="000000"/>
          <w:sz w:val="22"/>
        </w:rPr>
        <w:t>which</w:t>
      </w:r>
      <w:r w:rsidRPr="001F16F0">
        <w:rPr>
          <w:rFonts w:ascii="Gill Sans MT" w:hAnsi="Gill Sans MT"/>
          <w:color w:val="000000"/>
          <w:sz w:val="22"/>
        </w:rPr>
        <w:t xml:space="preserve"> </w:t>
      </w:r>
      <w:r w:rsidRPr="001F16F0">
        <w:rPr>
          <w:rFonts w:ascii="Gill Sans MT" w:hAnsi="Gill Sans MT"/>
          <w:sz w:val="22"/>
        </w:rPr>
        <w:t>amends Part 9 of the Act.  Part 9 of the Act provides for non-conviction based unexplained wealth forfeiture laws</w:t>
      </w:r>
      <w:r>
        <w:rPr>
          <w:rFonts w:ascii="Gill Sans MT" w:hAnsi="Gill Sans MT"/>
          <w:sz w:val="22"/>
        </w:rPr>
        <w:t>;</w:t>
      </w:r>
    </w:p>
    <w:p w14:paraId="06975651" w14:textId="060CD53B" w:rsidR="001F16F0" w:rsidRDefault="001F16F0" w:rsidP="007B281D">
      <w:pPr>
        <w:pStyle w:val="ListParagraph"/>
        <w:widowControl w:val="0"/>
        <w:numPr>
          <w:ilvl w:val="1"/>
          <w:numId w:val="39"/>
        </w:numPr>
        <w:shd w:val="clear" w:color="auto" w:fill="FFFFFF"/>
        <w:spacing w:before="0" w:after="140" w:line="280" w:lineRule="atLeast"/>
        <w:ind w:left="850" w:hanging="425"/>
        <w:contextualSpacing w:val="0"/>
        <w:jc w:val="left"/>
        <w:rPr>
          <w:rFonts w:ascii="Gill Sans MT" w:hAnsi="Gill Sans MT" w:cs="ArialMT"/>
          <w:sz w:val="22"/>
          <w:lang w:eastAsia="en-AU"/>
        </w:rPr>
      </w:pPr>
      <w:r w:rsidRPr="00C4174D">
        <w:rPr>
          <w:rFonts w:ascii="Gill Sans MT" w:hAnsi="Gill Sans MT"/>
          <w:sz w:val="22"/>
        </w:rPr>
        <w:t xml:space="preserve">A suite of legislative reforms during 2017-18 aimed at combatting </w:t>
      </w:r>
      <w:proofErr w:type="spellStart"/>
      <w:r w:rsidRPr="00C4174D">
        <w:rPr>
          <w:rFonts w:ascii="Gill Sans MT" w:hAnsi="Gill Sans MT"/>
          <w:sz w:val="22"/>
        </w:rPr>
        <w:t>organised</w:t>
      </w:r>
      <w:proofErr w:type="spellEnd"/>
      <w:r w:rsidRPr="00C4174D">
        <w:rPr>
          <w:rFonts w:ascii="Gill Sans MT" w:hAnsi="Gill Sans MT"/>
          <w:sz w:val="22"/>
        </w:rPr>
        <w:t xml:space="preserve"> crime through increased control over the presence and identification of </w:t>
      </w:r>
      <w:proofErr w:type="spellStart"/>
      <w:r w:rsidRPr="00C4174D">
        <w:rPr>
          <w:rFonts w:ascii="Gill Sans MT" w:hAnsi="Gill Sans MT"/>
          <w:sz w:val="22"/>
        </w:rPr>
        <w:t>organised</w:t>
      </w:r>
      <w:proofErr w:type="spellEnd"/>
      <w:r w:rsidRPr="00C4174D">
        <w:rPr>
          <w:rFonts w:ascii="Gill Sans MT" w:hAnsi="Gill Sans MT"/>
          <w:sz w:val="22"/>
        </w:rPr>
        <w:t xml:space="preserve"> criminal groups including the </w:t>
      </w:r>
      <w:r w:rsidRPr="00C4174D">
        <w:rPr>
          <w:rFonts w:ascii="Gill Sans MT" w:hAnsi="Gill Sans MT"/>
          <w:i/>
          <w:sz w:val="22"/>
        </w:rPr>
        <w:t>Removal of Fortifications Act 2017</w:t>
      </w:r>
      <w:r w:rsidRPr="00C4174D">
        <w:rPr>
          <w:rFonts w:ascii="Gill Sans MT" w:hAnsi="Gill Sans MT"/>
          <w:sz w:val="22"/>
        </w:rPr>
        <w:t xml:space="preserve"> to provide for the removal, modification, or fortifications from premises used by </w:t>
      </w:r>
      <w:proofErr w:type="spellStart"/>
      <w:r w:rsidRPr="00C4174D">
        <w:rPr>
          <w:rFonts w:ascii="Gill Sans MT" w:hAnsi="Gill Sans MT"/>
          <w:sz w:val="22"/>
        </w:rPr>
        <w:t>organised</w:t>
      </w:r>
      <w:proofErr w:type="spellEnd"/>
      <w:r w:rsidRPr="00C4174D">
        <w:rPr>
          <w:rFonts w:ascii="Gill Sans MT" w:hAnsi="Gill Sans MT"/>
          <w:sz w:val="22"/>
        </w:rPr>
        <w:t xml:space="preserve"> crime in furtherance of criminal enterprises;   t</w:t>
      </w:r>
      <w:r w:rsidRPr="00C4174D">
        <w:rPr>
          <w:rFonts w:ascii="Gill Sans MT" w:hAnsi="Gill Sans MT"/>
          <w:color w:val="000000"/>
          <w:sz w:val="22"/>
        </w:rPr>
        <w:t>he</w:t>
      </w:r>
      <w:r w:rsidRPr="00C4174D">
        <w:rPr>
          <w:rFonts w:ascii="Gill Sans MT" w:hAnsi="Gill Sans MT" w:cs="ArialMT"/>
          <w:sz w:val="22"/>
          <w:lang w:eastAsia="en-AU"/>
        </w:rPr>
        <w:t xml:space="preserve"> </w:t>
      </w:r>
      <w:r w:rsidRPr="00C4174D">
        <w:rPr>
          <w:rFonts w:ascii="Gill Sans MT" w:hAnsi="Gill Sans MT" w:cs="Arial-ItalicMT"/>
          <w:i/>
          <w:iCs/>
          <w:sz w:val="22"/>
          <w:lang w:eastAsia="en-AU"/>
        </w:rPr>
        <w:t xml:space="preserve">Police Offences Amendment (Prohibited Insignia) Act 2018 </w:t>
      </w:r>
      <w:r w:rsidRPr="00C4174D">
        <w:rPr>
          <w:rFonts w:ascii="Gill Sans MT" w:hAnsi="Gill Sans MT" w:cs="ArialMT"/>
          <w:sz w:val="22"/>
          <w:lang w:eastAsia="en-AU"/>
        </w:rPr>
        <w:t xml:space="preserve">to prevent members of certain </w:t>
      </w:r>
      <w:proofErr w:type="spellStart"/>
      <w:r w:rsidRPr="00C4174D">
        <w:rPr>
          <w:rFonts w:ascii="Gill Sans MT" w:hAnsi="Gill Sans MT" w:cs="ArialMT"/>
          <w:sz w:val="22"/>
          <w:lang w:eastAsia="en-AU"/>
        </w:rPr>
        <w:t>organisations</w:t>
      </w:r>
      <w:proofErr w:type="spellEnd"/>
      <w:r w:rsidRPr="00C4174D">
        <w:rPr>
          <w:rFonts w:ascii="Gill Sans MT" w:hAnsi="Gill Sans MT" w:cs="ArialMT"/>
          <w:sz w:val="22"/>
          <w:lang w:eastAsia="en-AU"/>
        </w:rPr>
        <w:t xml:space="preserve"> from wearing the insignia in public</w:t>
      </w:r>
      <w:r w:rsidR="00C4174D" w:rsidRPr="00C4174D">
        <w:rPr>
          <w:rFonts w:ascii="Gill Sans MT" w:hAnsi="Gill Sans MT" w:cs="ArialMT"/>
          <w:sz w:val="22"/>
          <w:lang w:eastAsia="en-AU"/>
        </w:rPr>
        <w:t xml:space="preserve">; and </w:t>
      </w:r>
      <w:r w:rsidR="00C4174D">
        <w:rPr>
          <w:rFonts w:ascii="Gill Sans MT" w:hAnsi="Gill Sans MT" w:cs="ArialMT"/>
          <w:sz w:val="22"/>
          <w:lang w:eastAsia="en-AU"/>
        </w:rPr>
        <w:t>a</w:t>
      </w:r>
      <w:r w:rsidRPr="00C4174D">
        <w:rPr>
          <w:rFonts w:ascii="Gill Sans MT" w:hAnsi="Gill Sans MT" w:cs="ArialMT"/>
          <w:sz w:val="22"/>
          <w:lang w:eastAsia="en-AU"/>
        </w:rPr>
        <w:t xml:space="preserve">mendments to the </w:t>
      </w:r>
      <w:r w:rsidRPr="00C4174D">
        <w:rPr>
          <w:rFonts w:ascii="Gill Sans MT" w:hAnsi="Gill Sans MT" w:cs="Arial-ItalicMT"/>
          <w:i/>
          <w:iCs/>
          <w:sz w:val="22"/>
          <w:lang w:eastAsia="en-AU"/>
        </w:rPr>
        <w:t xml:space="preserve">Police Offences Amendment (Consorting) Act 2018 </w:t>
      </w:r>
      <w:r w:rsidRPr="00C4174D">
        <w:rPr>
          <w:rFonts w:ascii="Gill Sans MT" w:hAnsi="Gill Sans MT" w:cs="ArialMT"/>
          <w:sz w:val="22"/>
          <w:lang w:eastAsia="en-AU"/>
        </w:rPr>
        <w:t>to prevent certain convicted offenders from associating with other identified convicted offenders</w:t>
      </w:r>
      <w:r w:rsidR="007B281D">
        <w:rPr>
          <w:rFonts w:ascii="Gill Sans MT" w:hAnsi="Gill Sans MT" w:cs="ArialMT"/>
          <w:sz w:val="22"/>
          <w:lang w:eastAsia="en-AU"/>
        </w:rPr>
        <w:t>; and</w:t>
      </w:r>
    </w:p>
    <w:p w14:paraId="75D43EFB" w14:textId="4CF6EF94" w:rsidR="007B281D" w:rsidRPr="00C4174D" w:rsidRDefault="007B281D" w:rsidP="007B281D">
      <w:pPr>
        <w:pStyle w:val="ListParagraph"/>
        <w:widowControl w:val="0"/>
        <w:numPr>
          <w:ilvl w:val="1"/>
          <w:numId w:val="39"/>
        </w:numPr>
        <w:shd w:val="clear" w:color="auto" w:fill="FFFFFF"/>
        <w:spacing w:before="0" w:after="140" w:line="280" w:lineRule="atLeast"/>
        <w:ind w:left="850" w:hanging="425"/>
        <w:contextualSpacing w:val="0"/>
        <w:jc w:val="left"/>
        <w:rPr>
          <w:rFonts w:ascii="Gill Sans MT" w:hAnsi="Gill Sans MT" w:cs="ArialMT"/>
          <w:sz w:val="22"/>
          <w:lang w:eastAsia="en-AU"/>
        </w:rPr>
      </w:pPr>
      <w:r>
        <w:rPr>
          <w:rFonts w:ascii="Gill Sans MT" w:hAnsi="Gill Sans MT"/>
          <w:sz w:val="22"/>
        </w:rPr>
        <w:t>The introduction in 2016 of the Controlled Access Scheme to allow access to medical cannabis products under prescription for certain medical conditions.</w:t>
      </w:r>
    </w:p>
    <w:p w14:paraId="492F0A93" w14:textId="356B9B0B" w:rsidR="00266A5B" w:rsidRDefault="00266A5B" w:rsidP="006F7697">
      <w:pPr>
        <w:pStyle w:val="ListParagraph"/>
        <w:widowControl w:val="0"/>
        <w:numPr>
          <w:ilvl w:val="0"/>
          <w:numId w:val="72"/>
        </w:numPr>
        <w:spacing w:before="0" w:after="140" w:line="280" w:lineRule="atLeast"/>
        <w:ind w:left="425" w:hanging="425"/>
        <w:contextualSpacing w:val="0"/>
        <w:jc w:val="left"/>
        <w:rPr>
          <w:rFonts w:ascii="Gill Sans MT" w:hAnsi="Gill Sans MT"/>
          <w:sz w:val="22"/>
        </w:rPr>
      </w:pPr>
      <w:r>
        <w:rPr>
          <w:rFonts w:ascii="Gill Sans MT" w:hAnsi="Gill Sans MT"/>
          <w:sz w:val="22"/>
        </w:rPr>
        <w:t>Additional funding and the expansion of the Court Mandated Diversion program to 120 places statewide and changes to allow offenders who appear before the Supreme Court to also be eligible for the program.</w:t>
      </w:r>
    </w:p>
    <w:p w14:paraId="7C27C578" w14:textId="37AD582F" w:rsidR="00266A5B" w:rsidRDefault="00266A5B" w:rsidP="006F7697">
      <w:pPr>
        <w:pStyle w:val="ListParagraph"/>
        <w:widowControl w:val="0"/>
        <w:numPr>
          <w:ilvl w:val="0"/>
          <w:numId w:val="72"/>
        </w:numPr>
        <w:spacing w:before="0" w:after="140" w:line="280" w:lineRule="atLeast"/>
        <w:ind w:left="425" w:hanging="425"/>
        <w:contextualSpacing w:val="0"/>
        <w:jc w:val="left"/>
        <w:rPr>
          <w:rFonts w:ascii="Gill Sans MT" w:hAnsi="Gill Sans MT"/>
          <w:sz w:val="22"/>
        </w:rPr>
      </w:pPr>
      <w:r>
        <w:rPr>
          <w:rFonts w:ascii="Gill Sans MT" w:hAnsi="Gill Sans MT"/>
          <w:sz w:val="22"/>
        </w:rPr>
        <w:t xml:space="preserve">The opening </w:t>
      </w:r>
      <w:r w:rsidR="00417B77">
        <w:rPr>
          <w:rFonts w:ascii="Gill Sans MT" w:hAnsi="Gill Sans MT"/>
          <w:sz w:val="22"/>
        </w:rPr>
        <w:t xml:space="preserve">in 2015 </w:t>
      </w:r>
      <w:r>
        <w:rPr>
          <w:rFonts w:ascii="Gill Sans MT" w:hAnsi="Gill Sans MT"/>
          <w:sz w:val="22"/>
        </w:rPr>
        <w:t xml:space="preserve">of a </w:t>
      </w:r>
      <w:r w:rsidR="008A2548">
        <w:rPr>
          <w:rFonts w:ascii="Gill Sans MT" w:hAnsi="Gill Sans MT"/>
          <w:sz w:val="22"/>
        </w:rPr>
        <w:t>live-in drug and alcohol facility</w:t>
      </w:r>
      <w:r w:rsidR="00417B77">
        <w:rPr>
          <w:rFonts w:ascii="Gill Sans MT" w:hAnsi="Gill Sans MT"/>
          <w:sz w:val="22"/>
        </w:rPr>
        <w:t xml:space="preserve"> for men</w:t>
      </w:r>
      <w:r w:rsidR="008A2548">
        <w:rPr>
          <w:rFonts w:ascii="Gill Sans MT" w:hAnsi="Gill Sans MT"/>
          <w:sz w:val="22"/>
        </w:rPr>
        <w:t xml:space="preserve">, the </w:t>
      </w:r>
      <w:proofErr w:type="spellStart"/>
      <w:r w:rsidR="008A2548">
        <w:rPr>
          <w:rFonts w:ascii="Gill Sans MT" w:hAnsi="Gill Sans MT"/>
          <w:sz w:val="22"/>
        </w:rPr>
        <w:t>Apsley</w:t>
      </w:r>
      <w:proofErr w:type="spellEnd"/>
      <w:r w:rsidR="008A2548">
        <w:rPr>
          <w:rFonts w:ascii="Gill Sans MT" w:hAnsi="Gill Sans MT"/>
          <w:sz w:val="22"/>
        </w:rPr>
        <w:t xml:space="preserve"> Program, with 10-bed capacity</w:t>
      </w:r>
      <w:r w:rsidR="00417B77">
        <w:rPr>
          <w:rFonts w:ascii="Gill Sans MT" w:hAnsi="Gill Sans MT"/>
          <w:sz w:val="22"/>
        </w:rPr>
        <w:t xml:space="preserve"> to address</w:t>
      </w:r>
      <w:r w:rsidR="008A2548">
        <w:rPr>
          <w:rFonts w:ascii="Gill Sans MT" w:hAnsi="Gill Sans MT"/>
          <w:sz w:val="22"/>
        </w:rPr>
        <w:t xml:space="preserve"> </w:t>
      </w:r>
      <w:r w:rsidR="00417B77" w:rsidRPr="00C2338D">
        <w:rPr>
          <w:rFonts w:ascii="Gill Sans MT" w:hAnsi="Gill Sans MT"/>
          <w:sz w:val="22"/>
        </w:rPr>
        <w:t>the biological, psychological and social triggers to help address drug and alcohol use.</w:t>
      </w:r>
    </w:p>
    <w:p w14:paraId="6A12D6A1" w14:textId="42CCA678" w:rsidR="00112CB2" w:rsidRDefault="00F7373F" w:rsidP="006F7697">
      <w:pPr>
        <w:pStyle w:val="ListParagraph"/>
        <w:widowControl w:val="0"/>
        <w:numPr>
          <w:ilvl w:val="0"/>
          <w:numId w:val="72"/>
        </w:numPr>
        <w:spacing w:before="0" w:after="140" w:line="280" w:lineRule="atLeast"/>
        <w:ind w:left="425" w:hanging="425"/>
        <w:contextualSpacing w:val="0"/>
        <w:jc w:val="left"/>
        <w:rPr>
          <w:rFonts w:ascii="Gill Sans MT" w:hAnsi="Gill Sans MT"/>
          <w:sz w:val="22"/>
        </w:rPr>
      </w:pPr>
      <w:r>
        <w:rPr>
          <w:rFonts w:ascii="Gill Sans MT" w:hAnsi="Gill Sans MT"/>
          <w:sz w:val="22"/>
        </w:rPr>
        <w:t>The review in</w:t>
      </w:r>
      <w:r w:rsidR="00266A5B">
        <w:rPr>
          <w:rFonts w:ascii="Gill Sans MT" w:hAnsi="Gill Sans MT"/>
          <w:sz w:val="22"/>
        </w:rPr>
        <w:t>t</w:t>
      </w:r>
      <w:r>
        <w:rPr>
          <w:rFonts w:ascii="Gill Sans MT" w:hAnsi="Gill Sans MT"/>
          <w:sz w:val="22"/>
        </w:rPr>
        <w:t xml:space="preserve">o alcohol and drug services and the development of the Reform Agenda for the Alcohol and Other Drug Sector in Tasmania. </w:t>
      </w:r>
    </w:p>
    <w:p w14:paraId="73D94288" w14:textId="6D38BA39" w:rsidR="00266A5B" w:rsidRDefault="00266A5B" w:rsidP="006F7697">
      <w:pPr>
        <w:pStyle w:val="ListParagraph"/>
        <w:widowControl w:val="0"/>
        <w:numPr>
          <w:ilvl w:val="0"/>
          <w:numId w:val="72"/>
        </w:numPr>
        <w:spacing w:before="0" w:after="140" w:line="280" w:lineRule="atLeast"/>
        <w:ind w:left="425" w:hanging="425"/>
        <w:contextualSpacing w:val="0"/>
        <w:jc w:val="left"/>
        <w:rPr>
          <w:rFonts w:ascii="Gill Sans MT" w:hAnsi="Gill Sans MT"/>
          <w:sz w:val="22"/>
        </w:rPr>
      </w:pPr>
      <w:r>
        <w:rPr>
          <w:rFonts w:ascii="Gill Sans MT" w:hAnsi="Gill Sans MT"/>
          <w:sz w:val="22"/>
        </w:rPr>
        <w:t>Increased funding into the alcohol and drug sector in Tasmania including for:</w:t>
      </w:r>
    </w:p>
    <w:p w14:paraId="344D169E" w14:textId="77361EAB" w:rsidR="00266A5B" w:rsidRDefault="00266A5B" w:rsidP="006B554E">
      <w:pPr>
        <w:pStyle w:val="ListParagraph"/>
        <w:widowControl w:val="0"/>
        <w:numPr>
          <w:ilvl w:val="0"/>
          <w:numId w:val="75"/>
        </w:numPr>
        <w:spacing w:before="0" w:after="140" w:line="280" w:lineRule="atLeast"/>
        <w:ind w:left="851" w:hanging="425"/>
        <w:contextualSpacing w:val="0"/>
        <w:jc w:val="left"/>
        <w:rPr>
          <w:rFonts w:ascii="Gill Sans MT" w:hAnsi="Gill Sans MT"/>
          <w:sz w:val="22"/>
        </w:rPr>
      </w:pPr>
      <w:r>
        <w:rPr>
          <w:rFonts w:ascii="Gill Sans MT" w:hAnsi="Gill Sans MT"/>
          <w:sz w:val="22"/>
        </w:rPr>
        <w:t xml:space="preserve">A new 12-bed residential rehabilitation service in </w:t>
      </w:r>
      <w:proofErr w:type="spellStart"/>
      <w:r>
        <w:rPr>
          <w:rFonts w:ascii="Gill Sans MT" w:hAnsi="Gill Sans MT"/>
          <w:sz w:val="22"/>
        </w:rPr>
        <w:t>Ulverstone</w:t>
      </w:r>
      <w:proofErr w:type="spellEnd"/>
      <w:r>
        <w:rPr>
          <w:rFonts w:ascii="Gill Sans MT" w:hAnsi="Gill Sans MT"/>
          <w:sz w:val="22"/>
        </w:rPr>
        <w:t xml:space="preserve"> which opened in 2016;</w:t>
      </w:r>
    </w:p>
    <w:p w14:paraId="022B8B34" w14:textId="7FD526A2" w:rsidR="00266A5B" w:rsidRDefault="00266A5B" w:rsidP="006B554E">
      <w:pPr>
        <w:pStyle w:val="ListParagraph"/>
        <w:widowControl w:val="0"/>
        <w:numPr>
          <w:ilvl w:val="0"/>
          <w:numId w:val="75"/>
        </w:numPr>
        <w:spacing w:before="0" w:after="140" w:line="280" w:lineRule="atLeast"/>
        <w:ind w:left="851" w:hanging="425"/>
        <w:contextualSpacing w:val="0"/>
        <w:jc w:val="left"/>
        <w:rPr>
          <w:rFonts w:ascii="Gill Sans MT" w:hAnsi="Gill Sans MT"/>
          <w:sz w:val="22"/>
        </w:rPr>
      </w:pPr>
      <w:r>
        <w:rPr>
          <w:rFonts w:ascii="Gill Sans MT" w:hAnsi="Gill Sans MT"/>
          <w:sz w:val="22"/>
        </w:rPr>
        <w:t xml:space="preserve">31 additional residential beds in 2018 across the state – 10 in the North, 5 in the North West and 16 in the South; </w:t>
      </w:r>
      <w:r w:rsidR="006B554E">
        <w:rPr>
          <w:rFonts w:ascii="Gill Sans MT" w:hAnsi="Gill Sans MT"/>
          <w:sz w:val="22"/>
        </w:rPr>
        <w:t xml:space="preserve">and </w:t>
      </w:r>
    </w:p>
    <w:p w14:paraId="0E400457" w14:textId="21661987" w:rsidR="006B554E" w:rsidRDefault="006B554E" w:rsidP="006B554E">
      <w:pPr>
        <w:pStyle w:val="ListParagraph"/>
        <w:widowControl w:val="0"/>
        <w:numPr>
          <w:ilvl w:val="0"/>
          <w:numId w:val="75"/>
        </w:numPr>
        <w:spacing w:before="0" w:after="140" w:line="280" w:lineRule="atLeast"/>
        <w:ind w:left="851" w:hanging="425"/>
        <w:contextualSpacing w:val="0"/>
        <w:jc w:val="left"/>
        <w:rPr>
          <w:rFonts w:ascii="Gill Sans MT" w:hAnsi="Gill Sans MT"/>
          <w:sz w:val="22"/>
        </w:rPr>
      </w:pPr>
      <w:r>
        <w:rPr>
          <w:rFonts w:ascii="Gill Sans MT" w:hAnsi="Gill Sans MT"/>
          <w:sz w:val="22"/>
        </w:rPr>
        <w:t>The Good Sports Enhanced Community Clubs Program and Healthy Sports Grants program.</w:t>
      </w:r>
    </w:p>
    <w:p w14:paraId="0509A462" w14:textId="0732B0FC" w:rsidR="006B554E" w:rsidRDefault="006B554E" w:rsidP="002329B4">
      <w:pPr>
        <w:pStyle w:val="ListParagraph"/>
        <w:widowControl w:val="0"/>
        <w:numPr>
          <w:ilvl w:val="0"/>
          <w:numId w:val="72"/>
        </w:numPr>
        <w:spacing w:before="0" w:after="140" w:line="280" w:lineRule="atLeast"/>
        <w:ind w:left="425" w:hanging="425"/>
        <w:contextualSpacing w:val="0"/>
        <w:jc w:val="left"/>
      </w:pPr>
      <w:r>
        <w:rPr>
          <w:rFonts w:ascii="Gill Sans MT" w:hAnsi="Gill Sans MT"/>
          <w:sz w:val="22"/>
          <w:lang w:eastAsia="en-AU"/>
        </w:rPr>
        <w:t xml:space="preserve">The development in 2013 of Everybody’s Business: A Strategic Framework for Implementing Promotion, Prevention and Early Intervention Approaches in Averting Alcohol, Tobacco and Other Drugs Use and its Implementation Plan in 2015, and the </w:t>
      </w:r>
      <w:r w:rsidRPr="006B554E">
        <w:rPr>
          <w:rFonts w:ascii="Gill Sans MT" w:hAnsi="Gill Sans MT"/>
          <w:i/>
          <w:sz w:val="22"/>
          <w:lang w:eastAsia="en-AU"/>
        </w:rPr>
        <w:t>Everybody’s Business</w:t>
      </w:r>
      <w:r>
        <w:rPr>
          <w:rFonts w:ascii="Gill Sans MT" w:hAnsi="Gill Sans MT"/>
          <w:sz w:val="22"/>
          <w:lang w:eastAsia="en-AU"/>
        </w:rPr>
        <w:t xml:space="preserve"> website.</w:t>
      </w:r>
    </w:p>
    <w:p w14:paraId="76B90529" w14:textId="7A25A429" w:rsidR="0034401B" w:rsidRDefault="003C33FE" w:rsidP="00FA0EC1">
      <w:pPr>
        <w:pStyle w:val="Heading2"/>
        <w:keepNext w:val="0"/>
        <w:widowControl w:val="0"/>
        <w:spacing w:before="0" w:line="280" w:lineRule="atLeast"/>
      </w:pPr>
      <w:bookmarkStart w:id="8" w:name="_Toc32915493"/>
      <w:r>
        <w:t>Summary and a</w:t>
      </w:r>
      <w:r w:rsidR="0034401B">
        <w:t>nalysis of data and trends</w:t>
      </w:r>
      <w:bookmarkEnd w:id="8"/>
    </w:p>
    <w:p w14:paraId="3307FD24" w14:textId="77777777" w:rsidR="00D2003F" w:rsidRPr="00AB741A" w:rsidRDefault="00D2003F" w:rsidP="00FA0EC1">
      <w:pPr>
        <w:widowControl w:val="0"/>
        <w:spacing w:line="280" w:lineRule="atLeast"/>
      </w:pPr>
      <w:r w:rsidRPr="00AB741A">
        <w:t xml:space="preserve">The use of drugs, including alcohol, tobacco, illicit drugs and </w:t>
      </w:r>
      <w:r>
        <w:t xml:space="preserve">misuse of </w:t>
      </w:r>
      <w:r w:rsidRPr="00AB741A">
        <w:t xml:space="preserve">pharmaceuticals causes significant harms to individuals, families and the community.  The health harms include increased risk of injuries and deaths, cancers, cardiovascular diseases, liver cirrhosis, mental health problems, and shortened life </w:t>
      </w:r>
      <w:r w:rsidRPr="00AB741A">
        <w:lastRenderedPageBreak/>
        <w:t xml:space="preserve">expectancy.  It also includes economic harms arising from the costs to health, hospitals, law enforcement and justice systems, decreased productivity, associated criminal activity, reinforcement of marginalisation and disadvantage, domestic and family violence and child protection issues. Alcohol and other drug </w:t>
      </w:r>
      <w:r>
        <w:t xml:space="preserve">use </w:t>
      </w:r>
      <w:r w:rsidRPr="00AB741A">
        <w:t xml:space="preserve">are also associated with social and health determinants such as discrimination, unemployment, homelessness, poverty and family breakdown. </w:t>
      </w:r>
    </w:p>
    <w:p w14:paraId="347F6F0A" w14:textId="15681EF1" w:rsidR="000B619B" w:rsidRDefault="000B619B" w:rsidP="00FA0EC1">
      <w:pPr>
        <w:widowControl w:val="0"/>
        <w:spacing w:line="280" w:lineRule="atLeast"/>
        <w:contextualSpacing/>
      </w:pPr>
      <w:r>
        <w:t xml:space="preserve">The data </w:t>
      </w:r>
      <w:r w:rsidR="00580383">
        <w:t>in Appendix 1 and throughout this report</w:t>
      </w:r>
      <w:r>
        <w:t xml:space="preserve"> show some changes in Tasmania</w:t>
      </w:r>
      <w:r w:rsidR="00AC2E57">
        <w:t>, all of which will be considered in development of the new TDS</w:t>
      </w:r>
      <w:r>
        <w:t>:</w:t>
      </w:r>
    </w:p>
    <w:p w14:paraId="41C12A7D" w14:textId="6E559B61" w:rsidR="00AC2E57" w:rsidRPr="00937255" w:rsidRDefault="00AC2E57" w:rsidP="00AC2E57">
      <w:pPr>
        <w:pStyle w:val="ListParagraph"/>
        <w:numPr>
          <w:ilvl w:val="0"/>
          <w:numId w:val="46"/>
        </w:numPr>
        <w:spacing w:before="0" w:after="140" w:line="280" w:lineRule="atLeast"/>
        <w:ind w:left="426" w:hanging="426"/>
        <w:contextualSpacing w:val="0"/>
        <w:jc w:val="left"/>
        <w:rPr>
          <w:rFonts w:ascii="Gill Sans MT" w:hAnsi="Gill Sans MT"/>
          <w:sz w:val="22"/>
        </w:rPr>
      </w:pPr>
      <w:r w:rsidRPr="00937255">
        <w:rPr>
          <w:rFonts w:ascii="Gill Sans MT" w:hAnsi="Gill Sans MT"/>
          <w:sz w:val="22"/>
        </w:rPr>
        <w:t>Tobacco smoking is still the leading cause of preventable death and disease in Australia</w:t>
      </w:r>
      <w:r>
        <w:rPr>
          <w:rFonts w:ascii="Gill Sans MT" w:hAnsi="Gill Sans MT"/>
          <w:sz w:val="22"/>
        </w:rPr>
        <w:t xml:space="preserve"> including in Tasmania</w:t>
      </w:r>
      <w:r w:rsidRPr="00937255">
        <w:rPr>
          <w:rFonts w:ascii="Gill Sans MT" w:hAnsi="Gill Sans MT"/>
          <w:sz w:val="22"/>
        </w:rPr>
        <w:t xml:space="preserve">.  Illnesses associated with long-term smoking kill two in three smokers.  </w:t>
      </w:r>
      <w:r>
        <w:rPr>
          <w:rFonts w:ascii="Gill Sans MT" w:hAnsi="Gill Sans MT"/>
          <w:sz w:val="22"/>
        </w:rPr>
        <w:t>An</w:t>
      </w:r>
      <w:r w:rsidRPr="00937255">
        <w:rPr>
          <w:rFonts w:ascii="Gill Sans MT" w:hAnsi="Gill Sans MT"/>
          <w:sz w:val="22"/>
        </w:rPr>
        <w:t xml:space="preserve"> average of 559 Tasmanians </w:t>
      </w:r>
      <w:proofErr w:type="gramStart"/>
      <w:r w:rsidRPr="00937255">
        <w:rPr>
          <w:rFonts w:ascii="Gill Sans MT" w:hAnsi="Gill Sans MT"/>
          <w:sz w:val="22"/>
        </w:rPr>
        <w:t>die</w:t>
      </w:r>
      <w:proofErr w:type="gramEnd"/>
      <w:r w:rsidRPr="00937255">
        <w:rPr>
          <w:rFonts w:ascii="Gill Sans MT" w:hAnsi="Gill Sans MT"/>
          <w:sz w:val="22"/>
        </w:rPr>
        <w:t xml:space="preserve"> each year from smoking</w:t>
      </w:r>
      <w:r>
        <w:rPr>
          <w:rFonts w:ascii="Gill Sans MT" w:hAnsi="Gill Sans MT"/>
          <w:sz w:val="22"/>
        </w:rPr>
        <w:t xml:space="preserve"> (ABS 2019)</w:t>
      </w:r>
      <w:r w:rsidRPr="00CA3676">
        <w:rPr>
          <w:rFonts w:ascii="Gill Sans MT" w:hAnsi="Gill Sans MT"/>
          <w:sz w:val="22"/>
        </w:rPr>
        <w:t>.</w:t>
      </w:r>
      <w:r w:rsidRPr="00937255">
        <w:rPr>
          <w:rFonts w:ascii="Gill Sans MT" w:hAnsi="Gill Sans MT"/>
          <w:sz w:val="22"/>
        </w:rPr>
        <w:t xml:space="preserve"> </w:t>
      </w:r>
    </w:p>
    <w:p w14:paraId="43466154" w14:textId="77777777" w:rsidR="00AC2E57" w:rsidRPr="00CA3676" w:rsidRDefault="00AC2E57" w:rsidP="00AC2E57">
      <w:pPr>
        <w:pStyle w:val="ListParagraph"/>
        <w:numPr>
          <w:ilvl w:val="0"/>
          <w:numId w:val="46"/>
        </w:numPr>
        <w:spacing w:before="0" w:after="140" w:line="280" w:lineRule="atLeast"/>
        <w:ind w:left="426" w:hanging="426"/>
        <w:contextualSpacing w:val="0"/>
        <w:jc w:val="left"/>
        <w:rPr>
          <w:rFonts w:ascii="Gill Sans MT" w:hAnsi="Gill Sans MT"/>
          <w:sz w:val="22"/>
        </w:rPr>
      </w:pPr>
      <w:r w:rsidRPr="00CA3676">
        <w:rPr>
          <w:rFonts w:ascii="Gill Sans MT" w:hAnsi="Gill Sans MT"/>
          <w:sz w:val="22"/>
        </w:rPr>
        <w:t xml:space="preserve">Most Tasmanians </w:t>
      </w:r>
      <w:r>
        <w:rPr>
          <w:rFonts w:ascii="Gill Sans MT" w:hAnsi="Gill Sans MT"/>
          <w:sz w:val="22"/>
        </w:rPr>
        <w:t>do not smoke</w:t>
      </w:r>
      <w:r w:rsidRPr="00CA3676">
        <w:rPr>
          <w:rFonts w:ascii="Gill Sans MT" w:hAnsi="Gill Sans MT"/>
          <w:sz w:val="22"/>
        </w:rPr>
        <w:t>. Trend data shows a continued decline over the last ten years in smoking prevalence by Tasmanian adults</w:t>
      </w:r>
      <w:r>
        <w:rPr>
          <w:rFonts w:ascii="Gill Sans MT" w:hAnsi="Gill Sans MT"/>
          <w:sz w:val="22"/>
        </w:rPr>
        <w:t xml:space="preserve">, </w:t>
      </w:r>
      <w:r w:rsidRPr="00CA3676">
        <w:rPr>
          <w:rFonts w:ascii="Gill Sans MT" w:hAnsi="Gill Sans MT"/>
          <w:sz w:val="22"/>
        </w:rPr>
        <w:t>from 25 per cent in 2007</w:t>
      </w:r>
      <w:r>
        <w:rPr>
          <w:rFonts w:ascii="Gill Sans MT" w:hAnsi="Gill Sans MT"/>
          <w:sz w:val="22"/>
        </w:rPr>
        <w:t xml:space="preserve">-08 </w:t>
      </w:r>
      <w:r w:rsidRPr="00CA3676">
        <w:rPr>
          <w:rFonts w:ascii="Gill Sans MT" w:hAnsi="Gill Sans MT"/>
          <w:sz w:val="22"/>
        </w:rPr>
        <w:t>to 17.6 per cent in 2017</w:t>
      </w:r>
      <w:r>
        <w:rPr>
          <w:rFonts w:ascii="Gill Sans MT" w:hAnsi="Gill Sans MT"/>
          <w:sz w:val="22"/>
        </w:rPr>
        <w:t>-18 (ABS 2019)</w:t>
      </w:r>
      <w:r w:rsidRPr="00CA3676">
        <w:rPr>
          <w:rFonts w:ascii="Gill Sans MT" w:hAnsi="Gill Sans MT"/>
          <w:sz w:val="22"/>
        </w:rPr>
        <w:t xml:space="preserve">. </w:t>
      </w:r>
    </w:p>
    <w:p w14:paraId="6090321C" w14:textId="42DF091F" w:rsidR="001176EA" w:rsidRDefault="00937255" w:rsidP="00AC2E57">
      <w:pPr>
        <w:pStyle w:val="ListParagraph"/>
        <w:numPr>
          <w:ilvl w:val="0"/>
          <w:numId w:val="53"/>
        </w:numPr>
        <w:spacing w:before="0" w:after="140" w:line="280" w:lineRule="atLeast"/>
        <w:ind w:left="425" w:hanging="425"/>
        <w:contextualSpacing w:val="0"/>
        <w:rPr>
          <w:rFonts w:ascii="Gill Sans MT" w:hAnsi="Gill Sans MT"/>
          <w:sz w:val="22"/>
        </w:rPr>
      </w:pPr>
      <w:r w:rsidRPr="00CA3676">
        <w:rPr>
          <w:rFonts w:ascii="Gill Sans MT" w:hAnsi="Gill Sans MT"/>
          <w:sz w:val="22"/>
        </w:rPr>
        <w:t>The proportion of pe</w:t>
      </w:r>
      <w:r w:rsidR="00211E32">
        <w:rPr>
          <w:rFonts w:ascii="Gill Sans MT" w:hAnsi="Gill Sans MT"/>
          <w:sz w:val="22"/>
        </w:rPr>
        <w:t>ople</w:t>
      </w:r>
      <w:r w:rsidRPr="00CA3676">
        <w:rPr>
          <w:rFonts w:ascii="Gill Sans MT" w:hAnsi="Gill Sans MT"/>
          <w:sz w:val="22"/>
        </w:rPr>
        <w:t xml:space="preserve"> who have never smoked can be used as an indicator of progress to prevent uptake. For young people</w:t>
      </w:r>
      <w:r w:rsidR="00D71692">
        <w:rPr>
          <w:rFonts w:ascii="Gill Sans MT" w:hAnsi="Gill Sans MT"/>
          <w:sz w:val="22"/>
        </w:rPr>
        <w:t xml:space="preserve"> 12-17</w:t>
      </w:r>
      <w:r w:rsidRPr="00CA3676">
        <w:rPr>
          <w:rFonts w:ascii="Gill Sans MT" w:hAnsi="Gill Sans MT"/>
          <w:sz w:val="22"/>
        </w:rPr>
        <w:t>, 78 per cent of Tasmanian students had never smoked in 2017, a</w:t>
      </w:r>
      <w:r w:rsidR="009210C9">
        <w:rPr>
          <w:rFonts w:ascii="Gill Sans MT" w:hAnsi="Gill Sans MT"/>
          <w:sz w:val="22"/>
        </w:rPr>
        <w:t xml:space="preserve"> steady</w:t>
      </w:r>
      <w:r w:rsidRPr="00CA3676">
        <w:rPr>
          <w:rFonts w:ascii="Gill Sans MT" w:hAnsi="Gill Sans MT"/>
          <w:sz w:val="22"/>
        </w:rPr>
        <w:t xml:space="preserve"> increase from 70 per cent in 2011</w:t>
      </w:r>
      <w:r w:rsidR="00BB5ABE">
        <w:rPr>
          <w:rFonts w:ascii="Gill Sans MT" w:hAnsi="Gill Sans MT"/>
          <w:sz w:val="22"/>
        </w:rPr>
        <w:t xml:space="preserve"> </w:t>
      </w:r>
      <w:r w:rsidR="00BB5ABE" w:rsidRPr="00BB5ABE">
        <w:rPr>
          <w:rFonts w:ascii="Gill Sans MT" w:hAnsi="Gill Sans MT"/>
          <w:sz w:val="22"/>
        </w:rPr>
        <w:t>(Guerin &amp; Gascoyne,</w:t>
      </w:r>
      <w:r w:rsidR="00BB5ABE">
        <w:rPr>
          <w:rFonts w:ascii="Gill Sans MT" w:hAnsi="Gill Sans MT"/>
          <w:sz w:val="22"/>
        </w:rPr>
        <w:t xml:space="preserve"> </w:t>
      </w:r>
      <w:r w:rsidR="00BB5ABE" w:rsidRPr="00BB5ABE">
        <w:rPr>
          <w:rFonts w:ascii="Gill Sans MT" w:hAnsi="Gill Sans MT"/>
          <w:sz w:val="22"/>
        </w:rPr>
        <w:t>2019).</w:t>
      </w:r>
      <w:r w:rsidR="005D12AF">
        <w:rPr>
          <w:rFonts w:ascii="Gill Sans MT" w:hAnsi="Gill Sans MT"/>
          <w:sz w:val="22"/>
        </w:rPr>
        <w:t xml:space="preserve"> </w:t>
      </w:r>
    </w:p>
    <w:p w14:paraId="16DF5363" w14:textId="77777777" w:rsidR="00937255" w:rsidRPr="00211E32" w:rsidRDefault="00211E32" w:rsidP="00FA0EC1">
      <w:pPr>
        <w:pStyle w:val="ListParagraph"/>
        <w:numPr>
          <w:ilvl w:val="0"/>
          <w:numId w:val="53"/>
        </w:numPr>
        <w:spacing w:before="0" w:after="140" w:line="280" w:lineRule="atLeast"/>
        <w:ind w:left="425" w:hanging="425"/>
        <w:contextualSpacing w:val="0"/>
        <w:rPr>
          <w:rFonts w:ascii="Gill Sans MT" w:hAnsi="Gill Sans MT"/>
          <w:sz w:val="22"/>
        </w:rPr>
      </w:pPr>
      <w:r w:rsidRPr="00306537">
        <w:rPr>
          <w:rFonts w:ascii="Gill Sans MT" w:hAnsi="Gill Sans MT"/>
          <w:sz w:val="22"/>
        </w:rPr>
        <w:t xml:space="preserve">Fewer students drank alcohol in the past month </w:t>
      </w:r>
      <w:r w:rsidR="0022495A">
        <w:rPr>
          <w:rFonts w:ascii="Gill Sans MT" w:hAnsi="Gill Sans MT"/>
          <w:sz w:val="22"/>
        </w:rPr>
        <w:t>in 2017 t</w:t>
      </w:r>
      <w:r w:rsidRPr="00306537">
        <w:rPr>
          <w:rFonts w:ascii="Gill Sans MT" w:hAnsi="Gill Sans MT"/>
          <w:sz w:val="22"/>
        </w:rPr>
        <w:t>han in 2011. In the older age group (16-17) this was down from 64 to 59 per cent, and for the young group (12-15) from 29 to 20 per cent</w:t>
      </w:r>
      <w:r w:rsidR="001176EA">
        <w:rPr>
          <w:rFonts w:ascii="Gill Sans MT" w:hAnsi="Gill Sans MT"/>
          <w:sz w:val="22"/>
        </w:rPr>
        <w:t xml:space="preserve"> </w:t>
      </w:r>
      <w:r w:rsidR="001176EA" w:rsidRPr="00BB5ABE">
        <w:rPr>
          <w:rFonts w:ascii="Gill Sans MT" w:hAnsi="Gill Sans MT"/>
          <w:sz w:val="22"/>
        </w:rPr>
        <w:t>(Guerin &amp; Gascoyne,</w:t>
      </w:r>
      <w:r w:rsidR="001176EA">
        <w:rPr>
          <w:rFonts w:ascii="Gill Sans MT" w:hAnsi="Gill Sans MT"/>
          <w:sz w:val="22"/>
        </w:rPr>
        <w:t xml:space="preserve"> </w:t>
      </w:r>
      <w:r w:rsidR="001176EA" w:rsidRPr="00BB5ABE">
        <w:rPr>
          <w:rFonts w:ascii="Gill Sans MT" w:hAnsi="Gill Sans MT"/>
          <w:sz w:val="22"/>
        </w:rPr>
        <w:t>2019).</w:t>
      </w:r>
    </w:p>
    <w:p w14:paraId="108EB012" w14:textId="77777777" w:rsidR="00346235" w:rsidRDefault="005D12AF" w:rsidP="00FA0EC1">
      <w:pPr>
        <w:pStyle w:val="ListParagraph"/>
        <w:numPr>
          <w:ilvl w:val="0"/>
          <w:numId w:val="46"/>
        </w:numPr>
        <w:spacing w:before="0" w:after="140" w:line="280" w:lineRule="atLeast"/>
        <w:ind w:left="426" w:hanging="426"/>
        <w:contextualSpacing w:val="0"/>
        <w:jc w:val="left"/>
        <w:rPr>
          <w:rFonts w:ascii="Gill Sans MT" w:hAnsi="Gill Sans MT"/>
          <w:sz w:val="22"/>
        </w:rPr>
      </w:pPr>
      <w:r>
        <w:rPr>
          <w:rFonts w:ascii="Gill Sans MT" w:hAnsi="Gill Sans MT"/>
          <w:sz w:val="22"/>
        </w:rPr>
        <w:t>About half the Tasmanian population still e</w:t>
      </w:r>
      <w:r w:rsidR="00346235">
        <w:rPr>
          <w:rFonts w:ascii="Gill Sans MT" w:hAnsi="Gill Sans MT"/>
          <w:sz w:val="22"/>
        </w:rPr>
        <w:t>xceed the single occasion risk guideline for consuming alcohol (more than four standard drinks on any one occasion)</w:t>
      </w:r>
      <w:r w:rsidR="009248E3">
        <w:rPr>
          <w:rFonts w:ascii="Gill Sans MT" w:hAnsi="Gill Sans MT"/>
          <w:sz w:val="22"/>
        </w:rPr>
        <w:t xml:space="preserve">, and this rate has not changed significantly over the last </w:t>
      </w:r>
      <w:r>
        <w:rPr>
          <w:rFonts w:ascii="Gill Sans MT" w:hAnsi="Gill Sans MT"/>
          <w:sz w:val="22"/>
        </w:rPr>
        <w:t>six years (ABS 2019).</w:t>
      </w:r>
    </w:p>
    <w:p w14:paraId="4D05515E" w14:textId="77777777" w:rsidR="00211E32" w:rsidRDefault="005D12AF" w:rsidP="00FA0EC1">
      <w:pPr>
        <w:pStyle w:val="ListParagraph"/>
        <w:numPr>
          <w:ilvl w:val="0"/>
          <w:numId w:val="46"/>
        </w:numPr>
        <w:spacing w:before="0" w:after="140" w:line="280" w:lineRule="atLeast"/>
        <w:ind w:left="426" w:hanging="426"/>
        <w:contextualSpacing w:val="0"/>
        <w:jc w:val="left"/>
        <w:rPr>
          <w:rFonts w:ascii="Gill Sans MT" w:hAnsi="Gill Sans MT"/>
          <w:sz w:val="22"/>
        </w:rPr>
      </w:pPr>
      <w:r>
        <w:rPr>
          <w:rFonts w:ascii="Gill Sans MT" w:hAnsi="Gill Sans MT"/>
          <w:sz w:val="22"/>
        </w:rPr>
        <w:t xml:space="preserve">The rate of exceeding lifetime risk (more than two standard drinks per day on average) shows </w:t>
      </w:r>
      <w:r w:rsidR="0022495A">
        <w:rPr>
          <w:rFonts w:ascii="Gill Sans MT" w:hAnsi="Gill Sans MT"/>
          <w:sz w:val="22"/>
        </w:rPr>
        <w:t>a steady</w:t>
      </w:r>
      <w:r>
        <w:rPr>
          <w:rFonts w:ascii="Gill Sans MT" w:hAnsi="Gill Sans MT"/>
          <w:sz w:val="22"/>
        </w:rPr>
        <w:t xml:space="preserve"> decline, from 21.5 per cent in 2007-08 to 16.7 per cent in 2017-18</w:t>
      </w:r>
      <w:r w:rsidR="002B3078">
        <w:rPr>
          <w:rFonts w:ascii="Gill Sans MT" w:hAnsi="Gill Sans MT"/>
          <w:sz w:val="22"/>
        </w:rPr>
        <w:t xml:space="preserve"> (ABS 2019).</w:t>
      </w:r>
    </w:p>
    <w:p w14:paraId="600F7124" w14:textId="77777777" w:rsidR="009210C9" w:rsidRDefault="00211E32" w:rsidP="00FA0EC1">
      <w:pPr>
        <w:pStyle w:val="ListParagraph"/>
        <w:numPr>
          <w:ilvl w:val="0"/>
          <w:numId w:val="46"/>
        </w:numPr>
        <w:spacing w:before="0" w:after="140" w:line="280" w:lineRule="atLeast"/>
        <w:ind w:left="426" w:hanging="426"/>
        <w:contextualSpacing w:val="0"/>
        <w:jc w:val="left"/>
        <w:rPr>
          <w:rFonts w:ascii="Gill Sans MT" w:hAnsi="Gill Sans MT"/>
          <w:sz w:val="22"/>
        </w:rPr>
      </w:pPr>
      <w:r>
        <w:rPr>
          <w:rFonts w:ascii="Gill Sans MT" w:hAnsi="Gill Sans MT"/>
          <w:sz w:val="22"/>
        </w:rPr>
        <w:t>There continue to be steadily decreasing rates of smoking and consuming alcohol during pregnancy. Overall smoking rates have declined from 16.3 per cent in 2012 to 12.8 per cent in 2016.  Similarly, drinking alcohol has declined from 9.1 per cent to 4.0 per cent during the same period (Department of Health 2018).</w:t>
      </w:r>
    </w:p>
    <w:p w14:paraId="4B7464CB" w14:textId="77777777" w:rsidR="00211E32" w:rsidRDefault="00211E32" w:rsidP="00FA0EC1">
      <w:pPr>
        <w:pStyle w:val="ListParagraph"/>
        <w:numPr>
          <w:ilvl w:val="0"/>
          <w:numId w:val="46"/>
        </w:numPr>
        <w:spacing w:before="0" w:after="140" w:line="280" w:lineRule="atLeast"/>
        <w:ind w:left="426" w:hanging="426"/>
        <w:contextualSpacing w:val="0"/>
        <w:jc w:val="left"/>
        <w:rPr>
          <w:rFonts w:ascii="Gill Sans MT" w:hAnsi="Gill Sans MT"/>
          <w:sz w:val="22"/>
        </w:rPr>
      </w:pPr>
      <w:r>
        <w:rPr>
          <w:rFonts w:ascii="Gill Sans MT" w:hAnsi="Gill Sans MT"/>
          <w:sz w:val="22"/>
        </w:rPr>
        <w:t xml:space="preserve">Treatment data for specialist government and non-government alcohol and other drugs services show some changes in recent years for most common principal drug of concern.  Alcohol remains the </w:t>
      </w:r>
      <w:r w:rsidR="00753D71">
        <w:rPr>
          <w:rFonts w:ascii="Gill Sans MT" w:hAnsi="Gill Sans MT"/>
          <w:sz w:val="22"/>
        </w:rPr>
        <w:t xml:space="preserve">primary principal drug of concern at around 40 per cent </w:t>
      </w:r>
      <w:r w:rsidR="00D267C0">
        <w:rPr>
          <w:rFonts w:ascii="Gill Sans MT" w:hAnsi="Gill Sans MT"/>
          <w:sz w:val="22"/>
        </w:rPr>
        <w:t xml:space="preserve">of closed episodes </w:t>
      </w:r>
      <w:r w:rsidR="00753D71">
        <w:rPr>
          <w:rFonts w:ascii="Gill Sans MT" w:hAnsi="Gill Sans MT"/>
          <w:sz w:val="22"/>
        </w:rPr>
        <w:t>ach year.  Amphetamine as the second principal drug of concern has been steadily increasing since 2013-14 when it was 1</w:t>
      </w:r>
      <w:r w:rsidR="00D267C0">
        <w:rPr>
          <w:rFonts w:ascii="Gill Sans MT" w:hAnsi="Gill Sans MT"/>
          <w:sz w:val="22"/>
        </w:rPr>
        <w:t>1</w:t>
      </w:r>
      <w:r w:rsidR="00753D71">
        <w:rPr>
          <w:rFonts w:ascii="Gill Sans MT" w:hAnsi="Gill Sans MT"/>
          <w:sz w:val="22"/>
        </w:rPr>
        <w:t xml:space="preserve"> per cent of treatment episodes – it is now 23.5 per cent of episodes. During the same period, cannabis has declined from 30 per cent to 19.6 per cent</w:t>
      </w:r>
      <w:r w:rsidR="008F3194">
        <w:rPr>
          <w:rFonts w:ascii="Gill Sans MT" w:hAnsi="Gill Sans MT"/>
          <w:sz w:val="22"/>
        </w:rPr>
        <w:t xml:space="preserve"> (AIHW, 2019b)</w:t>
      </w:r>
      <w:r w:rsidR="00753D71">
        <w:rPr>
          <w:rFonts w:ascii="Gill Sans MT" w:hAnsi="Gill Sans MT"/>
          <w:sz w:val="22"/>
        </w:rPr>
        <w:t>.</w:t>
      </w:r>
    </w:p>
    <w:p w14:paraId="4B4B9D1B" w14:textId="27543CD2" w:rsidR="008F3194" w:rsidRDefault="008F3194" w:rsidP="00C20EE9">
      <w:pPr>
        <w:pStyle w:val="BulletedListLevel1"/>
        <w:keepLines/>
        <w:numPr>
          <w:ilvl w:val="0"/>
          <w:numId w:val="46"/>
        </w:numPr>
        <w:spacing w:line="280" w:lineRule="atLeast"/>
        <w:ind w:left="425" w:hanging="425"/>
      </w:pPr>
      <w:r w:rsidRPr="00820EA6">
        <w:t xml:space="preserve">Tasmania experienced a much lower percentage increase in </w:t>
      </w:r>
      <w:r w:rsidR="008826D7">
        <w:t xml:space="preserve">per capita </w:t>
      </w:r>
      <w:r w:rsidRPr="00820EA6">
        <w:t>unintentional drug-induced deaths compared with the rest of Australia</w:t>
      </w:r>
      <w:r w:rsidR="008826D7">
        <w:t xml:space="preserve"> b</w:t>
      </w:r>
      <w:r w:rsidRPr="00820EA6">
        <w:t>etween the periods of 2003-2007 and 2013-2017</w:t>
      </w:r>
      <w:r w:rsidR="008826D7">
        <w:t>. In</w:t>
      </w:r>
      <w:r w:rsidRPr="00820EA6">
        <w:t xml:space="preserve"> Tasmania</w:t>
      </w:r>
      <w:r w:rsidR="008826D7">
        <w:t xml:space="preserve"> the increase in</w:t>
      </w:r>
      <w:r w:rsidRPr="00820EA6">
        <w:t xml:space="preserve"> opioid-related unintentional deaths was 10</w:t>
      </w:r>
      <w:r>
        <w:t xml:space="preserve"> per cent</w:t>
      </w:r>
      <w:r w:rsidRPr="00820EA6">
        <w:t xml:space="preserve"> whilst the national percentage increase was 150</w:t>
      </w:r>
      <w:r>
        <w:t xml:space="preserve"> per cent</w:t>
      </w:r>
      <w:r w:rsidRPr="00820EA6">
        <w:t>; and the rate of deaths per capita in Tasmania for benzodiazepines-related unintentional deaths did not significantly change whilst the national percentage increase was 15</w:t>
      </w:r>
      <w:r>
        <w:t>0 per cent</w:t>
      </w:r>
      <w:r w:rsidR="00E775F9">
        <w:t xml:space="preserve"> (</w:t>
      </w:r>
      <w:proofErr w:type="spellStart"/>
      <w:r w:rsidR="00E775F9" w:rsidRPr="004134E3">
        <w:t>Penington</w:t>
      </w:r>
      <w:proofErr w:type="spellEnd"/>
      <w:r w:rsidR="00E775F9" w:rsidRPr="004134E3">
        <w:t xml:space="preserve"> Institute 2019)</w:t>
      </w:r>
      <w:r w:rsidR="00E775F9">
        <w:t>.</w:t>
      </w:r>
    </w:p>
    <w:p w14:paraId="2ED6FB16" w14:textId="39CD8E93" w:rsidR="00461263" w:rsidRDefault="00461263" w:rsidP="000103F0">
      <w:pPr>
        <w:pStyle w:val="ListParagraph"/>
        <w:numPr>
          <w:ilvl w:val="0"/>
          <w:numId w:val="46"/>
        </w:numPr>
        <w:autoSpaceDE w:val="0"/>
        <w:autoSpaceDN w:val="0"/>
        <w:adjustRightInd w:val="0"/>
        <w:spacing w:before="0" w:after="140" w:line="280" w:lineRule="atLeast"/>
        <w:ind w:left="425" w:hanging="425"/>
        <w:contextualSpacing w:val="0"/>
        <w:jc w:val="left"/>
        <w:rPr>
          <w:rFonts w:ascii="Gill Sans MT" w:hAnsi="Gill Sans MT" w:cs="Calibri"/>
          <w:sz w:val="22"/>
        </w:rPr>
      </w:pPr>
      <w:r w:rsidRPr="00461263">
        <w:rPr>
          <w:rFonts w:ascii="Gill Sans MT" w:hAnsi="Gill Sans MT" w:cs="Calibri"/>
          <w:sz w:val="22"/>
        </w:rPr>
        <w:t xml:space="preserve">However, based on the most recent analysis of wastewater, Tasmania had the highest estimated average capital city </w:t>
      </w:r>
      <w:r w:rsidR="000103F0">
        <w:rPr>
          <w:rFonts w:ascii="Gill Sans MT" w:hAnsi="Gill Sans MT" w:cs="Calibri"/>
          <w:sz w:val="22"/>
        </w:rPr>
        <w:t xml:space="preserve">and regional </w:t>
      </w:r>
      <w:r w:rsidRPr="00461263">
        <w:rPr>
          <w:rFonts w:ascii="Gill Sans MT" w:hAnsi="Gill Sans MT" w:cs="Calibri"/>
          <w:sz w:val="22"/>
        </w:rPr>
        <w:t>consumption of oxycodon</w:t>
      </w:r>
      <w:r w:rsidR="008826D7">
        <w:rPr>
          <w:rFonts w:ascii="Gill Sans MT" w:hAnsi="Gill Sans MT" w:cs="Calibri"/>
          <w:sz w:val="22"/>
        </w:rPr>
        <w:t xml:space="preserve">e and the </w:t>
      </w:r>
      <w:r w:rsidR="00CC0DBB">
        <w:rPr>
          <w:rFonts w:ascii="Gill Sans MT" w:hAnsi="Gill Sans MT" w:cs="Calibri"/>
          <w:sz w:val="22"/>
        </w:rPr>
        <w:t xml:space="preserve">highest </w:t>
      </w:r>
      <w:r w:rsidRPr="00461263">
        <w:rPr>
          <w:rFonts w:ascii="Gill Sans MT" w:hAnsi="Gill Sans MT" w:cs="Calibri"/>
          <w:sz w:val="22"/>
        </w:rPr>
        <w:t>estimated average capital city consumption of fentanyl</w:t>
      </w:r>
      <w:r w:rsidR="00E775F9">
        <w:rPr>
          <w:rFonts w:ascii="Gill Sans MT" w:hAnsi="Gill Sans MT" w:cs="Calibri"/>
          <w:sz w:val="22"/>
        </w:rPr>
        <w:t xml:space="preserve"> (ACIC, 2019</w:t>
      </w:r>
      <w:r w:rsidR="00BC0267">
        <w:rPr>
          <w:rFonts w:ascii="Gill Sans MT" w:hAnsi="Gill Sans MT" w:cs="Calibri"/>
          <w:sz w:val="22"/>
        </w:rPr>
        <w:t>a</w:t>
      </w:r>
      <w:r w:rsidR="00E775F9">
        <w:rPr>
          <w:rFonts w:ascii="Gill Sans MT" w:hAnsi="Gill Sans MT" w:cs="Calibri"/>
          <w:sz w:val="22"/>
        </w:rPr>
        <w:t>).</w:t>
      </w:r>
      <w:r w:rsidR="000103F0">
        <w:rPr>
          <w:rFonts w:ascii="Gill Sans MT" w:hAnsi="Gill Sans MT" w:cs="Calibri"/>
          <w:sz w:val="22"/>
        </w:rPr>
        <w:t xml:space="preserve"> Tasmanian regional consumption of oxycodone has only become prominent in the last 12 months.  The rate of capital city fentanyl consumption has dropped over recent reports, and regional fentanyl consumption </w:t>
      </w:r>
      <w:r w:rsidR="009254DD">
        <w:rPr>
          <w:rFonts w:ascii="Gill Sans MT" w:hAnsi="Gill Sans MT" w:cs="Calibri"/>
          <w:sz w:val="22"/>
        </w:rPr>
        <w:t>in Tasmania is the lowest of all states and territories.</w:t>
      </w:r>
    </w:p>
    <w:p w14:paraId="79CD21EE" w14:textId="110CFAAB" w:rsidR="00DE2EB2" w:rsidRPr="00C20EE9" w:rsidRDefault="00AF354F" w:rsidP="00C20EE9">
      <w:pPr>
        <w:pStyle w:val="BulletedListLevel1"/>
        <w:numPr>
          <w:ilvl w:val="0"/>
          <w:numId w:val="46"/>
        </w:numPr>
        <w:tabs>
          <w:tab w:val="left" w:pos="720"/>
        </w:tabs>
        <w:spacing w:line="280" w:lineRule="atLeast"/>
        <w:ind w:left="425" w:hanging="425"/>
      </w:pPr>
      <w:r>
        <w:lastRenderedPageBreak/>
        <w:t>This is</w:t>
      </w:r>
      <w:r w:rsidR="00C20EE9">
        <w:t xml:space="preserve"> </w:t>
      </w:r>
      <w:r>
        <w:t xml:space="preserve">supported by data (ACSQHC, 2019) which shows that Tasmania’s age-standardised </w:t>
      </w:r>
      <w:r w:rsidR="00C20EE9">
        <w:t>rate of opioid dispensing in 2016-17 was the highest of all Australian states and territories</w:t>
      </w:r>
      <w:r>
        <w:t xml:space="preserve"> at 76 353 per 100 000 population compared to </w:t>
      </w:r>
      <w:r w:rsidR="00C20EE9">
        <w:t xml:space="preserve"> the Australian average of 58 595 per 100 000 population</w:t>
      </w:r>
      <w:r>
        <w:t xml:space="preserve">, and the </w:t>
      </w:r>
      <w:r w:rsidR="00C20EE9">
        <w:t xml:space="preserve">age standardised rate of defined daily doses of opioid medicines in Tasmania was also the highest of all states and territories </w:t>
      </w:r>
      <w:r>
        <w:t xml:space="preserve">at 25.48 per 1 000 population per day - </w:t>
      </w:r>
      <w:r w:rsidR="00C20EE9">
        <w:t xml:space="preserve"> well above the National rate of 15.39 per 1 000 population per day</w:t>
      </w:r>
      <w:r>
        <w:t xml:space="preserve">. </w:t>
      </w:r>
    </w:p>
    <w:p w14:paraId="086B5283" w14:textId="77777777" w:rsidR="0022495A" w:rsidRDefault="0022495A" w:rsidP="00FA0EC1">
      <w:pPr>
        <w:pStyle w:val="ListParagraph"/>
        <w:keepNext/>
        <w:widowControl w:val="0"/>
        <w:numPr>
          <w:ilvl w:val="0"/>
          <w:numId w:val="46"/>
        </w:numPr>
        <w:spacing w:before="0" w:after="140" w:line="280" w:lineRule="atLeast"/>
        <w:ind w:left="426" w:hanging="426"/>
        <w:contextualSpacing w:val="0"/>
        <w:jc w:val="left"/>
        <w:rPr>
          <w:rFonts w:ascii="Gill Sans MT" w:hAnsi="Gill Sans MT"/>
          <w:sz w:val="22"/>
          <w:lang w:eastAsia="ja-JP"/>
        </w:rPr>
      </w:pPr>
      <w:r>
        <w:rPr>
          <w:rFonts w:ascii="Gill Sans MT" w:hAnsi="Gill Sans MT"/>
          <w:sz w:val="22"/>
          <w:lang w:eastAsia="ja-JP"/>
        </w:rPr>
        <w:t xml:space="preserve">There are no statistically significant changes in self-reported lifetime use of any illicit drug, from 35 per cent in 2001 to 48 per cent in 2016. Methamphetamine use stayed static at around 5 per cent, noting however that Tasmanian estimates have high standard errors and must be used with caution (AIHW, 2017). </w:t>
      </w:r>
    </w:p>
    <w:p w14:paraId="4A0BD2CB" w14:textId="7207DF40" w:rsidR="009254DD" w:rsidRPr="009254DD" w:rsidRDefault="008F3194" w:rsidP="006F4813">
      <w:pPr>
        <w:pStyle w:val="ListParagraph"/>
        <w:widowControl w:val="0"/>
        <w:numPr>
          <w:ilvl w:val="0"/>
          <w:numId w:val="46"/>
        </w:numPr>
        <w:spacing w:before="0" w:after="140" w:line="280" w:lineRule="atLeast"/>
        <w:ind w:left="425" w:hanging="425"/>
        <w:contextualSpacing w:val="0"/>
        <w:jc w:val="left"/>
        <w:rPr>
          <w:rFonts w:ascii="Gill Sans MT" w:hAnsi="Gill Sans MT"/>
          <w:sz w:val="22"/>
          <w:lang w:eastAsia="ja-JP"/>
        </w:rPr>
      </w:pPr>
      <w:r w:rsidRPr="009254DD">
        <w:rPr>
          <w:rFonts w:ascii="Gill Sans MT" w:hAnsi="Gill Sans MT"/>
          <w:sz w:val="22"/>
          <w:lang w:eastAsia="ja-JP"/>
        </w:rPr>
        <w:t xml:space="preserve">The prevalence of methamphetamine use appears to have declined nationally at a general population level.  </w:t>
      </w:r>
      <w:r w:rsidR="009254DD" w:rsidRPr="009254DD">
        <w:rPr>
          <w:rFonts w:ascii="Gill Sans MT" w:hAnsi="Gill Sans MT"/>
          <w:sz w:val="22"/>
          <w:lang w:eastAsia="en-AU"/>
        </w:rPr>
        <w:t xml:space="preserve">While the rates in Tasmania have historically been low, there has been a steady increase in both capital city and regional consumption since the April 2018 Report. </w:t>
      </w:r>
      <w:r w:rsidR="009254DD">
        <w:rPr>
          <w:rFonts w:ascii="Gill Sans MT" w:hAnsi="Gill Sans MT"/>
          <w:sz w:val="22"/>
          <w:lang w:eastAsia="en-AU"/>
        </w:rPr>
        <w:t>Regional</w:t>
      </w:r>
      <w:r w:rsidR="009254DD" w:rsidRPr="009254DD">
        <w:rPr>
          <w:rFonts w:ascii="Gill Sans MT" w:hAnsi="Gill Sans MT"/>
          <w:sz w:val="22"/>
          <w:lang w:eastAsia="en-AU"/>
        </w:rPr>
        <w:t xml:space="preserve"> consumption remains below the national </w:t>
      </w:r>
      <w:r w:rsidR="004647FE" w:rsidRPr="009254DD">
        <w:rPr>
          <w:rFonts w:ascii="Gill Sans MT" w:hAnsi="Gill Sans MT"/>
          <w:sz w:val="22"/>
          <w:lang w:eastAsia="en-AU"/>
        </w:rPr>
        <w:t>average,</w:t>
      </w:r>
      <w:r w:rsidR="009254DD" w:rsidRPr="009254DD">
        <w:rPr>
          <w:rFonts w:ascii="Gill Sans MT" w:hAnsi="Gill Sans MT"/>
          <w:sz w:val="22"/>
          <w:lang w:eastAsia="en-AU"/>
        </w:rPr>
        <w:t xml:space="preserve"> but the capital city site measure has gone above this for the first time in the </w:t>
      </w:r>
      <w:r w:rsidR="009254DD">
        <w:rPr>
          <w:rFonts w:ascii="Gill Sans MT" w:hAnsi="Gill Sans MT"/>
          <w:sz w:val="22"/>
          <w:lang w:eastAsia="en-AU"/>
        </w:rPr>
        <w:t>pr</w:t>
      </w:r>
      <w:r w:rsidR="009254DD" w:rsidRPr="009254DD">
        <w:rPr>
          <w:rFonts w:ascii="Gill Sans MT" w:hAnsi="Gill Sans MT"/>
          <w:sz w:val="22"/>
          <w:lang w:eastAsia="en-AU"/>
        </w:rPr>
        <w:t>ogram’s history</w:t>
      </w:r>
      <w:r w:rsidR="009254DD">
        <w:rPr>
          <w:rFonts w:ascii="Gill Sans MT" w:hAnsi="Gill Sans MT"/>
          <w:sz w:val="22"/>
          <w:lang w:eastAsia="en-AU"/>
        </w:rPr>
        <w:t>.</w:t>
      </w:r>
      <w:r w:rsidR="009254DD" w:rsidRPr="009254DD" w:rsidDel="009254DD">
        <w:rPr>
          <w:rFonts w:ascii="Gill Sans MT" w:hAnsi="Gill Sans MT"/>
          <w:sz w:val="22"/>
          <w:lang w:eastAsia="ja-JP"/>
        </w:rPr>
        <w:t xml:space="preserve"> </w:t>
      </w:r>
    </w:p>
    <w:p w14:paraId="51970F7D" w14:textId="77777777" w:rsidR="00A911D3" w:rsidRPr="009254DD" w:rsidRDefault="00461263" w:rsidP="006F4813">
      <w:pPr>
        <w:pStyle w:val="ListParagraph"/>
        <w:widowControl w:val="0"/>
        <w:numPr>
          <w:ilvl w:val="0"/>
          <w:numId w:val="46"/>
        </w:numPr>
        <w:spacing w:before="0" w:after="140" w:line="280" w:lineRule="atLeast"/>
        <w:ind w:left="425" w:hanging="425"/>
        <w:contextualSpacing w:val="0"/>
        <w:jc w:val="left"/>
        <w:rPr>
          <w:rFonts w:ascii="Gill Sans MT" w:hAnsi="Gill Sans MT"/>
          <w:sz w:val="22"/>
          <w:lang w:eastAsia="ja-JP"/>
        </w:rPr>
      </w:pPr>
      <w:r w:rsidRPr="009254DD">
        <w:rPr>
          <w:rFonts w:ascii="Gill Sans MT" w:hAnsi="Gill Sans MT"/>
          <w:sz w:val="22"/>
          <w:lang w:eastAsia="ja-JP"/>
        </w:rPr>
        <w:t xml:space="preserve">However, among people who frequently inject drugs in Hobart, use of methamphetamine has remained stable over the past decade, but frequency of use and use of higher purity crystalline methamphetamine has increased (Bucher &amp; Bruno, 2018). </w:t>
      </w:r>
    </w:p>
    <w:p w14:paraId="43286DA6" w14:textId="77777777" w:rsidR="00514C69" w:rsidRDefault="00514C69" w:rsidP="00514C69">
      <w:pPr>
        <w:pStyle w:val="ListParagraph"/>
        <w:widowControl w:val="0"/>
        <w:numPr>
          <w:ilvl w:val="0"/>
          <w:numId w:val="46"/>
        </w:numPr>
        <w:spacing w:before="0" w:after="140" w:line="280" w:lineRule="atLeast"/>
        <w:ind w:left="425" w:hanging="425"/>
        <w:contextualSpacing w:val="0"/>
        <w:jc w:val="left"/>
        <w:rPr>
          <w:rFonts w:ascii="Gill Sans MT" w:hAnsi="Gill Sans MT"/>
          <w:sz w:val="22"/>
          <w:lang w:eastAsia="ja-JP"/>
        </w:rPr>
      </w:pPr>
      <w:r>
        <w:rPr>
          <w:rFonts w:ascii="Gill Sans MT" w:hAnsi="Gill Sans MT"/>
          <w:sz w:val="22"/>
          <w:lang w:eastAsia="ja-JP"/>
        </w:rPr>
        <w:t>An increasing trend</w:t>
      </w:r>
      <w:r w:rsidRPr="00A911D3">
        <w:rPr>
          <w:rFonts w:ascii="Gill Sans MT" w:hAnsi="Gill Sans MT"/>
          <w:sz w:val="22"/>
          <w:lang w:eastAsia="ja-JP"/>
        </w:rPr>
        <w:t xml:space="preserve"> in the number of offenders detected </w:t>
      </w:r>
      <w:r>
        <w:rPr>
          <w:rFonts w:ascii="Gill Sans MT" w:hAnsi="Gill Sans MT"/>
          <w:sz w:val="22"/>
          <w:lang w:eastAsia="ja-JP"/>
        </w:rPr>
        <w:t xml:space="preserve">by police </w:t>
      </w:r>
      <w:r w:rsidRPr="00A911D3">
        <w:rPr>
          <w:rFonts w:ascii="Gill Sans MT" w:hAnsi="Gill Sans MT"/>
          <w:sz w:val="22"/>
          <w:lang w:eastAsia="ja-JP"/>
        </w:rPr>
        <w:t>with MDMA (ecstasy) and methylampheta</w:t>
      </w:r>
      <w:r>
        <w:rPr>
          <w:rFonts w:ascii="Gill Sans MT" w:hAnsi="Gill Sans MT"/>
          <w:sz w:val="22"/>
          <w:lang w:eastAsia="ja-JP"/>
        </w:rPr>
        <w:t xml:space="preserve">mine was demonstrated during the 2013-2019 period. This trend reflects </w:t>
      </w:r>
      <w:r w:rsidRPr="00A911D3">
        <w:rPr>
          <w:rFonts w:ascii="Gill Sans MT" w:hAnsi="Gill Sans MT"/>
          <w:sz w:val="22"/>
          <w:lang w:eastAsia="ja-JP"/>
        </w:rPr>
        <w:t xml:space="preserve">other National data sets </w:t>
      </w:r>
      <w:r>
        <w:rPr>
          <w:rFonts w:ascii="Gill Sans MT" w:hAnsi="Gill Sans MT"/>
          <w:sz w:val="22"/>
          <w:lang w:eastAsia="ja-JP"/>
        </w:rPr>
        <w:t xml:space="preserve">such as </w:t>
      </w:r>
      <w:r w:rsidRPr="00A911D3">
        <w:rPr>
          <w:rFonts w:ascii="Gill Sans MT" w:hAnsi="Gill Sans MT"/>
          <w:sz w:val="22"/>
          <w:lang w:eastAsia="ja-JP"/>
        </w:rPr>
        <w:t>the Australian Criminal Intelligence Commission (ACIC) National Wastewater Drug Monitoring</w:t>
      </w:r>
      <w:r>
        <w:rPr>
          <w:rFonts w:ascii="Gill Sans MT" w:hAnsi="Gill Sans MT"/>
          <w:sz w:val="22"/>
          <w:lang w:eastAsia="ja-JP"/>
        </w:rPr>
        <w:t xml:space="preserve"> Program</w:t>
      </w:r>
      <w:r w:rsidRPr="00A911D3">
        <w:rPr>
          <w:rFonts w:ascii="Gill Sans MT" w:hAnsi="Gill Sans MT"/>
          <w:sz w:val="22"/>
          <w:lang w:eastAsia="ja-JP"/>
        </w:rPr>
        <w:t>.</w:t>
      </w:r>
    </w:p>
    <w:p w14:paraId="5EBC2F27" w14:textId="77777777" w:rsidR="00600246" w:rsidRDefault="00CC0DBB" w:rsidP="00FA0EC1">
      <w:pPr>
        <w:keepNext/>
        <w:widowControl w:val="0"/>
        <w:spacing w:line="280" w:lineRule="atLeast"/>
        <w:rPr>
          <w:rFonts w:cs="Raleway"/>
        </w:rPr>
      </w:pPr>
      <w:r>
        <w:rPr>
          <w:lang w:eastAsia="ja-JP"/>
        </w:rPr>
        <w:t xml:space="preserve">It is also worth noting that the harms arising from the use of alcohol, tobacco and other drugs use including misuse of pharmaceuticals in Tasmania are </w:t>
      </w:r>
      <w:r w:rsidR="00D12996">
        <w:rPr>
          <w:lang w:eastAsia="ja-JP"/>
        </w:rPr>
        <w:t xml:space="preserve">felt across the community and all levels of </w:t>
      </w:r>
      <w:r w:rsidR="00600246">
        <w:rPr>
          <w:lang w:eastAsia="ja-JP"/>
        </w:rPr>
        <w:t xml:space="preserve">government.  </w:t>
      </w:r>
      <w:r w:rsidR="00600246">
        <w:rPr>
          <w:rFonts w:cs="Raleway"/>
        </w:rPr>
        <w:t>Examples include:</w:t>
      </w:r>
    </w:p>
    <w:p w14:paraId="7469D018" w14:textId="77777777" w:rsidR="008D10A7" w:rsidRPr="006F16B1" w:rsidRDefault="008D10A7" w:rsidP="00985FEA">
      <w:pPr>
        <w:pStyle w:val="ListParagraph"/>
        <w:widowControl w:val="0"/>
        <w:numPr>
          <w:ilvl w:val="0"/>
          <w:numId w:val="67"/>
        </w:numPr>
        <w:spacing w:before="0" w:after="140" w:line="280" w:lineRule="atLeast"/>
        <w:ind w:left="425" w:hanging="425"/>
        <w:contextualSpacing w:val="0"/>
        <w:jc w:val="left"/>
        <w:rPr>
          <w:rFonts w:ascii="Gill Sans MT" w:hAnsi="Gill Sans MT"/>
          <w:sz w:val="22"/>
        </w:rPr>
      </w:pPr>
      <w:r w:rsidRPr="006F16B1">
        <w:rPr>
          <w:rFonts w:ascii="Gill Sans MT" w:hAnsi="Gill Sans MT"/>
          <w:sz w:val="22"/>
        </w:rPr>
        <w:t>Prison entrants are four times as likely as people in the general population to report illicit drug use (including use of illegal drugs and non-medical prescription medication and volatile substances), with almost two-thirds (65 per cent) having used an illicit drug in the previous year (AIHW, 2019</w:t>
      </w:r>
      <w:r w:rsidR="006F16B1">
        <w:rPr>
          <w:rFonts w:ascii="Gill Sans MT" w:hAnsi="Gill Sans MT"/>
          <w:sz w:val="22"/>
        </w:rPr>
        <w:t>c</w:t>
      </w:r>
      <w:r w:rsidRPr="006F16B1">
        <w:rPr>
          <w:rFonts w:ascii="Gill Sans MT" w:hAnsi="Gill Sans MT"/>
          <w:sz w:val="22"/>
        </w:rPr>
        <w:t xml:space="preserve">). Substance use is also an ongoing risk factor for recidivism and requires a degree of aftercare and post-release support due to risk of overdose, continued use and returning to the same social environment. AOD use problems can often be made worse because of the imprisonment. </w:t>
      </w:r>
    </w:p>
    <w:p w14:paraId="1A611C43" w14:textId="77777777" w:rsidR="008D10A7" w:rsidRPr="006F16B1" w:rsidRDefault="008D10A7" w:rsidP="00985FEA">
      <w:pPr>
        <w:pStyle w:val="ListParagraph"/>
        <w:widowControl w:val="0"/>
        <w:numPr>
          <w:ilvl w:val="0"/>
          <w:numId w:val="67"/>
        </w:numPr>
        <w:spacing w:before="0" w:after="140" w:line="280" w:lineRule="atLeast"/>
        <w:ind w:left="425" w:hanging="425"/>
        <w:contextualSpacing w:val="0"/>
        <w:jc w:val="left"/>
        <w:rPr>
          <w:rFonts w:ascii="Gill Sans MT" w:hAnsi="Gill Sans MT"/>
          <w:sz w:val="22"/>
        </w:rPr>
      </w:pPr>
      <w:r w:rsidRPr="006F16B1">
        <w:rPr>
          <w:rFonts w:ascii="Gill Sans MT" w:hAnsi="Gill Sans MT"/>
          <w:sz w:val="22"/>
        </w:rPr>
        <w:t xml:space="preserve">There is a strong link between substance use and homelessness. Between 2012-13 and 2016-17 almost one in ten people presenting to homelessness services reported having problematic AOD use issue.  Around 6 per cent of clients of homelessness services in 2016-17 reported AOD use as the main reason for seeking assistance (AIHW, 2018).  </w:t>
      </w:r>
    </w:p>
    <w:p w14:paraId="05EA66DA" w14:textId="03050710" w:rsidR="00F211D9" w:rsidRPr="00C512D5" w:rsidRDefault="008D10A7" w:rsidP="00985FEA">
      <w:pPr>
        <w:pStyle w:val="ListParagraph"/>
        <w:widowControl w:val="0"/>
        <w:numPr>
          <w:ilvl w:val="0"/>
          <w:numId w:val="67"/>
        </w:numPr>
        <w:spacing w:before="0" w:after="140" w:line="280" w:lineRule="atLeast"/>
        <w:ind w:left="425" w:hanging="425"/>
        <w:contextualSpacing w:val="0"/>
        <w:jc w:val="left"/>
        <w:rPr>
          <w:rFonts w:ascii="Gill Sans MT" w:hAnsi="Gill Sans MT"/>
          <w:sz w:val="22"/>
        </w:rPr>
      </w:pPr>
      <w:r w:rsidRPr="006F16B1">
        <w:rPr>
          <w:rFonts w:ascii="Gill Sans MT" w:hAnsi="Gill Sans MT"/>
          <w:sz w:val="22"/>
        </w:rPr>
        <w:t xml:space="preserve">Alcohol is involved in approximately half of domestic and family violence incidents reported to police (Miller et al, 2016).  When considering incidents not reported, alcohol involvement is likely to be higher. The Victorian Royal Commission into Family Violence heard that between 50 per cent and 90 per cent of women accessing mental health services and AOD services had been victims of child abuse or domestic violence (State of Victoria, 2016).  </w:t>
      </w:r>
      <w:bookmarkStart w:id="9" w:name="_Toc476322095"/>
    </w:p>
    <w:p w14:paraId="2C8F9C04" w14:textId="4335E6F7" w:rsidR="00F81CC7" w:rsidRDefault="00F81CC7" w:rsidP="00F81CC7">
      <w:pPr>
        <w:pStyle w:val="Heading2"/>
        <w:spacing w:before="120" w:after="120" w:line="280" w:lineRule="atLeast"/>
      </w:pPr>
      <w:bookmarkStart w:id="10" w:name="_Toc32915494"/>
      <w:r>
        <w:t>Conclusions and way forward</w:t>
      </w:r>
      <w:bookmarkEnd w:id="9"/>
      <w:bookmarkEnd w:id="10"/>
    </w:p>
    <w:p w14:paraId="2405B7EE" w14:textId="77777777" w:rsidR="00FB280A" w:rsidRDefault="00521C3D" w:rsidP="00D71692">
      <w:pPr>
        <w:spacing w:line="280" w:lineRule="atLeast"/>
      </w:pPr>
      <w:r w:rsidRPr="00D71692">
        <w:rPr>
          <w:rFonts w:cs="Arial"/>
        </w:rPr>
        <w:t>It is pleasing to note some positive trends in that uptake of tobacco smoking and alcohol use</w:t>
      </w:r>
      <w:r w:rsidR="00D71692" w:rsidRPr="00D71692">
        <w:rPr>
          <w:rFonts w:cs="Arial"/>
        </w:rPr>
        <w:t xml:space="preserve"> among young people 12-17</w:t>
      </w:r>
      <w:r w:rsidRPr="00D71692">
        <w:rPr>
          <w:rFonts w:cs="Arial"/>
        </w:rPr>
        <w:t xml:space="preserve"> </w:t>
      </w:r>
      <w:r w:rsidR="00D71692">
        <w:rPr>
          <w:rFonts w:cs="Arial"/>
        </w:rPr>
        <w:t>(</w:t>
      </w:r>
      <w:r w:rsidR="00D71692" w:rsidRPr="00D71692">
        <w:t>Guerin &amp; Gascoyne, 2019</w:t>
      </w:r>
      <w:r w:rsidR="00D71692">
        <w:t xml:space="preserve">), and more general downward trends in smoking among adults </w:t>
      </w:r>
      <w:r w:rsidR="00D71692" w:rsidRPr="00D71692">
        <w:t>(ABS 2019)</w:t>
      </w:r>
      <w:r w:rsidR="00D71692">
        <w:t xml:space="preserve"> and smoking and alcohol use among pregnant women (</w:t>
      </w:r>
      <w:r w:rsidR="00D71692" w:rsidRPr="00D71692">
        <w:t>Department of Health 2018).</w:t>
      </w:r>
      <w:r w:rsidR="00D71692">
        <w:t xml:space="preserve">  </w:t>
      </w:r>
    </w:p>
    <w:p w14:paraId="6C7815D0" w14:textId="62C4693A" w:rsidR="00C40033" w:rsidRDefault="00D71692" w:rsidP="00D71692">
      <w:pPr>
        <w:spacing w:line="280" w:lineRule="atLeast"/>
      </w:pPr>
      <w:r>
        <w:t>Alcohol remains the principal drug of concern for people seeking treatment, with amphetamines now the second</w:t>
      </w:r>
      <w:r w:rsidR="00107CB6">
        <w:t>-most</w:t>
      </w:r>
      <w:r>
        <w:t xml:space="preserve"> principal drug of concern (AIHW, 2019</w:t>
      </w:r>
      <w:r w:rsidR="00107CB6">
        <w:t>b)</w:t>
      </w:r>
      <w:r>
        <w:t xml:space="preserve">. </w:t>
      </w:r>
      <w:r w:rsidR="00107CB6">
        <w:t xml:space="preserve">This should be viewed as positive given that </w:t>
      </w:r>
      <w:r w:rsidR="00107CB6">
        <w:lastRenderedPageBreak/>
        <w:t>amphetamine use</w:t>
      </w:r>
      <w:r w:rsidR="00C40033">
        <w:t xml:space="preserve"> can impact brain functioning and affect a person’s ability to seek and remain in treatment (UnitingCare </w:t>
      </w:r>
      <w:proofErr w:type="spellStart"/>
      <w:r w:rsidR="00C40033">
        <w:t>ReGen</w:t>
      </w:r>
      <w:proofErr w:type="spellEnd"/>
      <w:r w:rsidR="00C40033">
        <w:t xml:space="preserve">, 2014).  </w:t>
      </w:r>
      <w:r w:rsidR="00C512D5">
        <w:t xml:space="preserve">Similar to all Australian states and territories, rates of medical opioids </w:t>
      </w:r>
      <w:proofErr w:type="gramStart"/>
      <w:r w:rsidR="00C512D5">
        <w:t>prescribing</w:t>
      </w:r>
      <w:proofErr w:type="gramEnd"/>
      <w:r w:rsidR="00C512D5">
        <w:t xml:space="preserve"> and dispensing is high.</w:t>
      </w:r>
    </w:p>
    <w:p w14:paraId="658C4515" w14:textId="5D3AAC3C" w:rsidR="00A46B4E" w:rsidRDefault="00A46B4E" w:rsidP="003F1529">
      <w:pPr>
        <w:widowControl w:val="0"/>
        <w:spacing w:line="280" w:lineRule="atLeast"/>
        <w:rPr>
          <w:rFonts w:cs="Arial"/>
        </w:rPr>
      </w:pPr>
      <w:r>
        <w:rPr>
          <w:rFonts w:cs="Arial"/>
        </w:rPr>
        <w:t xml:space="preserve">As noted in the Report on Activities of the Tasmanian Alcohol Action Framework (TAAF) </w:t>
      </w:r>
      <w:hyperlink r:id="rId18" w:history="1">
        <w:r w:rsidRPr="00FD4382">
          <w:rPr>
            <w:rStyle w:val="Hyperlink"/>
            <w:rFonts w:cs="Arial"/>
          </w:rPr>
          <w:t>Tasma</w:t>
        </w:r>
        <w:r w:rsidRPr="00FD4382">
          <w:rPr>
            <w:rStyle w:val="Hyperlink"/>
            <w:rFonts w:cs="Arial"/>
          </w:rPr>
          <w:t>n</w:t>
        </w:r>
        <w:r w:rsidRPr="00FD4382">
          <w:rPr>
            <w:rStyle w:val="Hyperlink"/>
            <w:rFonts w:cs="Arial"/>
          </w:rPr>
          <w:t>ian Alcohol Action Framework</w:t>
        </w:r>
        <w:r w:rsidR="003F1529">
          <w:rPr>
            <w:rStyle w:val="Hyperlink"/>
            <w:rFonts w:cs="Arial"/>
          </w:rPr>
          <w:t xml:space="preserve"> </w:t>
        </w:r>
        <w:r w:rsidRPr="00FD4382">
          <w:rPr>
            <w:rStyle w:val="Hyperlink"/>
            <w:rFonts w:cs="Arial"/>
          </w:rPr>
          <w:t>2010-2016 Activities Report</w:t>
        </w:r>
      </w:hyperlink>
      <w:r w:rsidR="003F1529">
        <w:rPr>
          <w:rStyle w:val="Hyperlink"/>
          <w:rFonts w:cs="Arial"/>
        </w:rPr>
        <w:t xml:space="preserve"> </w:t>
      </w:r>
      <w:r w:rsidR="003F1529" w:rsidRPr="003F1529">
        <w:t xml:space="preserve">it </w:t>
      </w:r>
      <w:r>
        <w:rPr>
          <w:rFonts w:cs="Arial"/>
        </w:rPr>
        <w:t>was difficult to evaluate or conclusively say that any of the activities had a direct effect on the goal and aims of the TAAF. The same can be said of the TDS activities.</w:t>
      </w:r>
    </w:p>
    <w:p w14:paraId="748B61E8" w14:textId="77777777" w:rsidR="00906FE0" w:rsidRDefault="00906FE0" w:rsidP="00906FE0">
      <w:pPr>
        <w:widowControl w:val="0"/>
        <w:spacing w:line="280" w:lineRule="atLeast"/>
      </w:pPr>
      <w:r>
        <w:t xml:space="preserve">Ideally the data and other information should be able to tell us what progress has been made to meet the goal and aims of the TDS.  The current TDS lacks measures and indicators, so making any correlation between the available data and the goal and aims remains tenuous. </w:t>
      </w:r>
    </w:p>
    <w:p w14:paraId="106A3649" w14:textId="33FD8EF2" w:rsidR="00E15D4A" w:rsidRDefault="00A46B4E" w:rsidP="00906FE0">
      <w:pPr>
        <w:widowControl w:val="0"/>
        <w:spacing w:line="280" w:lineRule="atLeast"/>
      </w:pPr>
      <w:r>
        <w:t xml:space="preserve">Without pre and post evaluation processes or baseline data it is impossible to evaluate the effect, or </w:t>
      </w:r>
      <w:r w:rsidRPr="00843E9C">
        <w:t xml:space="preserve">correlate </w:t>
      </w:r>
      <w:r>
        <w:t xml:space="preserve">available </w:t>
      </w:r>
      <w:r w:rsidRPr="00843E9C">
        <w:t xml:space="preserve">data to each </w:t>
      </w:r>
      <w:r>
        <w:t xml:space="preserve">aim or any one specific activity. </w:t>
      </w:r>
      <w:r w:rsidRPr="00843E9C">
        <w:t xml:space="preserve"> </w:t>
      </w:r>
      <w:r>
        <w:t xml:space="preserve">Any </w:t>
      </w:r>
      <w:r w:rsidRPr="00843E9C">
        <w:t>movement in the data may not be directly related to a specific action or policy response</w:t>
      </w:r>
      <w:r>
        <w:t xml:space="preserve">, and any movement may also reflect actions that have occurred in other policy arenas or changes to operations within specific agencies or program areas. </w:t>
      </w:r>
      <w:r w:rsidRPr="00843E9C">
        <w:t>Furthermore, some of the policy outcomes may not be evident in the short and medium term.</w:t>
      </w:r>
      <w:r w:rsidR="00E15D4A">
        <w:t xml:space="preserve">  </w:t>
      </w:r>
      <w:r w:rsidR="00811F75">
        <w:t xml:space="preserve">Also, there remain significant limitations to access to specific and timely data that can reliably demonstrate whether activities undertaken have specifically addressed the goal and aims of the current TDS. </w:t>
      </w:r>
    </w:p>
    <w:p w14:paraId="0404CDF7" w14:textId="77777777" w:rsidR="00985FEA" w:rsidRDefault="00985FEA" w:rsidP="00985FEA">
      <w:pPr>
        <w:widowControl w:val="0"/>
        <w:spacing w:line="280" w:lineRule="atLeast"/>
      </w:pPr>
      <w:r>
        <w:t>The challenge for the IAWGD in the development of the new TDS in 2020 will be to further analyse and consider the implications of the information in this report, to determine which range of activities and initiatives should be maintained and enhanced or what new initiatives need to be explored, and to identify corresponding outcome measures, indicators and data sources.</w:t>
      </w:r>
    </w:p>
    <w:p w14:paraId="44D66351" w14:textId="526095FB" w:rsidR="00906FE0" w:rsidRDefault="000F522D" w:rsidP="00906FE0">
      <w:pPr>
        <w:widowControl w:val="0"/>
        <w:spacing w:line="280" w:lineRule="atLeast"/>
      </w:pPr>
      <w:r>
        <w:t>As noted earlier, this</w:t>
      </w:r>
      <w:r w:rsidRPr="009D7ED6">
        <w:t xml:space="preserve"> report </w:t>
      </w:r>
      <w:r>
        <w:t>has also been commissioned</w:t>
      </w:r>
      <w:r w:rsidRPr="009D7ED6">
        <w:t xml:space="preserve"> to assist to inform the development of </w:t>
      </w:r>
      <w:r>
        <w:t>the new Tasmanian Drug Strategy 2020-2026</w:t>
      </w:r>
      <w:r w:rsidRPr="009D7ED6">
        <w:t xml:space="preserve">.  </w:t>
      </w:r>
      <w:r>
        <w:t xml:space="preserve">The information provided in this report </w:t>
      </w:r>
      <w:r w:rsidR="00906FE0">
        <w:t>including identifying meaningful, relevant and accessible data will be considered in development of the new TDS.</w:t>
      </w:r>
    </w:p>
    <w:p w14:paraId="30FF467F" w14:textId="77777777" w:rsidR="00906FE0" w:rsidRDefault="00906FE0" w:rsidP="00906FE0">
      <w:pPr>
        <w:keepNext/>
        <w:widowControl w:val="0"/>
        <w:spacing w:line="280" w:lineRule="atLeast"/>
        <w:rPr>
          <w:lang w:eastAsia="ja-JP"/>
        </w:rPr>
      </w:pPr>
    </w:p>
    <w:p w14:paraId="1B081E6B" w14:textId="33A08AF2" w:rsidR="00985FEA" w:rsidRDefault="00985FEA" w:rsidP="00906FE0">
      <w:pPr>
        <w:keepNext/>
        <w:widowControl w:val="0"/>
        <w:spacing w:line="280" w:lineRule="atLeast"/>
        <w:rPr>
          <w:lang w:eastAsia="ja-JP"/>
        </w:rPr>
        <w:sectPr w:rsidR="00985FEA" w:rsidSect="0022495A">
          <w:headerReference w:type="even" r:id="rId19"/>
          <w:headerReference w:type="default" r:id="rId20"/>
          <w:headerReference w:type="first" r:id="rId21"/>
          <w:pgSz w:w="11906" w:h="16838" w:code="9"/>
          <w:pgMar w:top="907" w:right="1134" w:bottom="1247" w:left="1134" w:header="709" w:footer="709" w:gutter="0"/>
          <w:cols w:space="708"/>
          <w:docGrid w:linePitch="360"/>
        </w:sectPr>
      </w:pPr>
    </w:p>
    <w:p w14:paraId="2183AB0A" w14:textId="77777777" w:rsidR="000B619B" w:rsidRDefault="000B619B" w:rsidP="00FA0EC1">
      <w:pPr>
        <w:widowControl w:val="0"/>
        <w:spacing w:line="280" w:lineRule="atLeast"/>
        <w:contextualSpacing/>
        <w:rPr>
          <w:highlight w:val="yellow"/>
        </w:rPr>
      </w:pPr>
    </w:p>
    <w:p w14:paraId="53457300" w14:textId="77777777" w:rsidR="0034401B" w:rsidRDefault="0034401B" w:rsidP="00FA0EC1">
      <w:pPr>
        <w:pStyle w:val="Heading1"/>
        <w:keepNext w:val="0"/>
        <w:pageBreakBefore w:val="0"/>
        <w:widowControl w:val="0"/>
        <w:spacing w:before="0" w:line="280" w:lineRule="atLeast"/>
        <w:contextualSpacing/>
      </w:pPr>
      <w:bookmarkStart w:id="13" w:name="_Toc32915495"/>
      <w:r>
        <w:t>Activities under the key priority areas</w:t>
      </w:r>
      <w:bookmarkEnd w:id="13"/>
    </w:p>
    <w:p w14:paraId="2A59B512" w14:textId="2FF6E3D8" w:rsidR="00363089" w:rsidRDefault="000F7981" w:rsidP="00AC2E57">
      <w:pPr>
        <w:widowControl w:val="0"/>
        <w:spacing w:line="280" w:lineRule="atLeast"/>
      </w:pPr>
      <w:r>
        <w:t xml:space="preserve">The following </w:t>
      </w:r>
      <w:r w:rsidR="00AC2E57">
        <w:t xml:space="preserve">are examples of </w:t>
      </w:r>
      <w:r>
        <w:t xml:space="preserve">activities undertaken </w:t>
      </w:r>
      <w:r w:rsidR="00363089">
        <w:t>under the priority areas of the current TDS:</w:t>
      </w:r>
    </w:p>
    <w:p w14:paraId="4E8446DC" w14:textId="77777777" w:rsidR="00CB50AF" w:rsidRPr="00A44F61" w:rsidRDefault="00363089" w:rsidP="00AC2E57">
      <w:pPr>
        <w:widowControl w:val="0"/>
        <w:spacing w:line="280" w:lineRule="atLeast"/>
        <w:rPr>
          <w:b/>
        </w:rPr>
      </w:pPr>
      <w:r w:rsidRPr="00A44F61">
        <w:rPr>
          <w:b/>
        </w:rPr>
        <w:t>Continue</w:t>
      </w:r>
      <w:r w:rsidR="000F7981" w:rsidRPr="00A44F61">
        <w:rPr>
          <w:b/>
        </w:rPr>
        <w:t xml:space="preserve"> to support initiatives to improve individual and community safety and reduce human, health, economic and social costs associated with the misuse of alcohol</w:t>
      </w:r>
    </w:p>
    <w:p w14:paraId="439F3F29" w14:textId="77777777" w:rsidR="00363089" w:rsidRPr="009A09E0" w:rsidRDefault="00AF283E" w:rsidP="003C33FE">
      <w:pPr>
        <w:pStyle w:val="ListParagraph"/>
        <w:widowControl w:val="0"/>
        <w:numPr>
          <w:ilvl w:val="0"/>
          <w:numId w:val="32"/>
        </w:numPr>
        <w:spacing w:before="0" w:after="140" w:line="280" w:lineRule="atLeast"/>
        <w:ind w:left="426" w:hanging="426"/>
        <w:contextualSpacing w:val="0"/>
        <w:jc w:val="left"/>
        <w:rPr>
          <w:rFonts w:ascii="Gill Sans MT" w:hAnsi="Gill Sans MT"/>
          <w:sz w:val="22"/>
          <w:lang w:eastAsia="en-AU"/>
        </w:rPr>
      </w:pPr>
      <w:r w:rsidRPr="009A09E0">
        <w:rPr>
          <w:rFonts w:ascii="Gill Sans MT" w:hAnsi="Gill Sans MT"/>
          <w:sz w:val="22"/>
        </w:rPr>
        <w:t xml:space="preserve">Under the Tasmanian Alcohol Action Framework 2010, which pre-dates the current TDS, a </w:t>
      </w:r>
      <w:r w:rsidRPr="009A09E0">
        <w:rPr>
          <w:rFonts w:ascii="Gill Sans MT" w:hAnsi="Gill Sans MT"/>
          <w:sz w:val="22"/>
          <w:lang w:eastAsia="en-AU"/>
        </w:rPr>
        <w:t xml:space="preserve">scoping study was undertaken of the legislation and regulatory regime dealing with the sale, supply and demand for alcohol and the management of alcohol related harm in Tasmania </w:t>
      </w:r>
      <w:r w:rsidR="00306FEC" w:rsidRPr="009A09E0">
        <w:rPr>
          <w:rFonts w:ascii="Gill Sans MT" w:hAnsi="Gill Sans MT"/>
          <w:sz w:val="22"/>
          <w:lang w:eastAsia="en-AU"/>
        </w:rPr>
        <w:t>(</w:t>
      </w:r>
      <w:proofErr w:type="spellStart"/>
      <w:r w:rsidR="00306FEC" w:rsidRPr="009A09E0">
        <w:rPr>
          <w:rFonts w:ascii="Gill Sans MT" w:hAnsi="Gill Sans MT"/>
          <w:sz w:val="22"/>
          <w:lang w:eastAsia="en-AU"/>
        </w:rPr>
        <w:t>Stenning</w:t>
      </w:r>
      <w:proofErr w:type="spellEnd"/>
      <w:r w:rsidR="00306FEC" w:rsidRPr="009A09E0">
        <w:rPr>
          <w:rFonts w:ascii="Gill Sans MT" w:hAnsi="Gill Sans MT"/>
          <w:sz w:val="22"/>
          <w:lang w:eastAsia="en-AU"/>
        </w:rPr>
        <w:t xml:space="preserve"> and Associates, 2012)</w:t>
      </w:r>
      <w:r w:rsidR="00CB0D64">
        <w:rPr>
          <w:rFonts w:ascii="Gill Sans MT" w:hAnsi="Gill Sans MT"/>
          <w:sz w:val="22"/>
          <w:lang w:eastAsia="en-AU"/>
        </w:rPr>
        <w:t xml:space="preserve"> </w:t>
      </w:r>
      <w:hyperlink r:id="rId22" w:history="1">
        <w:proofErr w:type="spellStart"/>
        <w:r w:rsidR="00CB0D64" w:rsidRPr="00CB0D64">
          <w:rPr>
            <w:rStyle w:val="Hyperlink"/>
            <w:rFonts w:ascii="Gill Sans MT" w:hAnsi="Gill Sans MT"/>
            <w:sz w:val="22"/>
            <w:lang w:eastAsia="en-AU"/>
          </w:rPr>
          <w:t>Stenning</w:t>
        </w:r>
        <w:proofErr w:type="spellEnd"/>
        <w:r w:rsidR="00CB0D64" w:rsidRPr="00CB0D64">
          <w:rPr>
            <w:rStyle w:val="Hyperlink"/>
            <w:rFonts w:ascii="Gill Sans MT" w:hAnsi="Gill Sans MT"/>
            <w:sz w:val="22"/>
            <w:lang w:eastAsia="en-AU"/>
          </w:rPr>
          <w:t xml:space="preserve"> Report</w:t>
        </w:r>
      </w:hyperlink>
      <w:r w:rsidR="00306FEC" w:rsidRPr="009A09E0">
        <w:rPr>
          <w:rFonts w:ascii="Gill Sans MT" w:hAnsi="Gill Sans MT"/>
          <w:sz w:val="22"/>
          <w:lang w:eastAsia="en-AU"/>
        </w:rPr>
        <w:t xml:space="preserve">. </w:t>
      </w:r>
      <w:r w:rsidR="00E658EC" w:rsidRPr="009A09E0">
        <w:rPr>
          <w:rFonts w:ascii="Gill Sans MT" w:hAnsi="Gill Sans MT"/>
          <w:sz w:val="22"/>
          <w:lang w:eastAsia="en-AU"/>
        </w:rPr>
        <w:t xml:space="preserve">The </w:t>
      </w:r>
      <w:proofErr w:type="spellStart"/>
      <w:r w:rsidR="00104BC7">
        <w:rPr>
          <w:rFonts w:ascii="Gill Sans MT" w:hAnsi="Gill Sans MT"/>
          <w:sz w:val="22"/>
          <w:lang w:eastAsia="en-AU"/>
        </w:rPr>
        <w:t>Stenning</w:t>
      </w:r>
      <w:proofErr w:type="spellEnd"/>
      <w:r w:rsidR="00104BC7">
        <w:rPr>
          <w:rFonts w:ascii="Gill Sans MT" w:hAnsi="Gill Sans MT"/>
          <w:sz w:val="22"/>
          <w:lang w:eastAsia="en-AU"/>
        </w:rPr>
        <w:t xml:space="preserve"> </w:t>
      </w:r>
      <w:r w:rsidR="00E658EC" w:rsidRPr="009A09E0">
        <w:rPr>
          <w:rFonts w:ascii="Gill Sans MT" w:hAnsi="Gill Sans MT"/>
          <w:sz w:val="22"/>
          <w:lang w:eastAsia="en-AU"/>
        </w:rPr>
        <w:t xml:space="preserve">Report </w:t>
      </w:r>
      <w:r w:rsidR="009A09E0" w:rsidRPr="009A09E0">
        <w:rPr>
          <w:rFonts w:ascii="Gill Sans MT" w:hAnsi="Gill Sans MT"/>
          <w:sz w:val="22"/>
          <w:lang w:eastAsia="en-AU"/>
        </w:rPr>
        <w:t>included</w:t>
      </w:r>
      <w:r w:rsidR="00E658EC" w:rsidRPr="009A09E0">
        <w:rPr>
          <w:rFonts w:ascii="Gill Sans MT" w:hAnsi="Gill Sans MT"/>
          <w:sz w:val="22"/>
          <w:lang w:eastAsia="en-AU"/>
        </w:rPr>
        <w:t xml:space="preserve"> recommendations </w:t>
      </w:r>
      <w:r w:rsidR="007A31A4" w:rsidRPr="009A09E0">
        <w:rPr>
          <w:rFonts w:ascii="Gill Sans MT" w:hAnsi="Gill Sans MT"/>
          <w:sz w:val="22"/>
          <w:lang w:eastAsia="en-AU"/>
        </w:rPr>
        <w:t xml:space="preserve">which helped to inform </w:t>
      </w:r>
      <w:r w:rsidR="009A09E0" w:rsidRPr="009A09E0">
        <w:rPr>
          <w:rFonts w:ascii="Gill Sans MT" w:hAnsi="Gill Sans MT"/>
          <w:sz w:val="22"/>
          <w:lang w:eastAsia="en-AU"/>
        </w:rPr>
        <w:t>the</w:t>
      </w:r>
      <w:r w:rsidR="007A31A4" w:rsidRPr="009A09E0">
        <w:rPr>
          <w:rFonts w:ascii="Gill Sans MT" w:hAnsi="Gill Sans MT"/>
          <w:sz w:val="22"/>
          <w:lang w:eastAsia="en-AU"/>
        </w:rPr>
        <w:t xml:space="preserve"> </w:t>
      </w:r>
      <w:r w:rsidR="009A09E0" w:rsidRPr="009A09E0">
        <w:rPr>
          <w:rFonts w:ascii="Gill Sans MT" w:hAnsi="Gill Sans MT"/>
          <w:sz w:val="22"/>
          <w:lang w:eastAsia="en-AU"/>
        </w:rPr>
        <w:t>r</w:t>
      </w:r>
      <w:r w:rsidR="007A31A4" w:rsidRPr="009A09E0">
        <w:rPr>
          <w:rFonts w:ascii="Gill Sans MT" w:hAnsi="Gill Sans MT"/>
          <w:sz w:val="22"/>
          <w:lang w:eastAsia="en-AU"/>
        </w:rPr>
        <w:t xml:space="preserve">eview of the </w:t>
      </w:r>
      <w:r w:rsidR="007A31A4" w:rsidRPr="009A09E0">
        <w:rPr>
          <w:rFonts w:ascii="Gill Sans MT" w:hAnsi="Gill Sans MT"/>
          <w:i/>
          <w:sz w:val="22"/>
          <w:lang w:eastAsia="en-AU"/>
        </w:rPr>
        <w:t>Liquor Licensing Act 1990</w:t>
      </w:r>
      <w:r w:rsidR="007A31A4" w:rsidRPr="009A09E0">
        <w:rPr>
          <w:rFonts w:ascii="Gill Sans MT" w:hAnsi="Gill Sans MT"/>
          <w:sz w:val="22"/>
          <w:lang w:eastAsia="en-AU"/>
        </w:rPr>
        <w:t xml:space="preserve"> </w:t>
      </w:r>
      <w:r w:rsidR="009A09E0" w:rsidRPr="009A09E0">
        <w:rPr>
          <w:rFonts w:ascii="Gill Sans MT" w:hAnsi="Gill Sans MT"/>
          <w:sz w:val="22"/>
          <w:lang w:eastAsia="en-AU"/>
        </w:rPr>
        <w:t xml:space="preserve">which </w:t>
      </w:r>
      <w:r w:rsidR="007A31A4" w:rsidRPr="009A09E0">
        <w:rPr>
          <w:rFonts w:ascii="Gill Sans MT" w:hAnsi="Gill Sans MT"/>
          <w:sz w:val="22"/>
          <w:lang w:eastAsia="en-AU"/>
        </w:rPr>
        <w:t>commenced in 2013.</w:t>
      </w:r>
    </w:p>
    <w:p w14:paraId="4F46EE8C" w14:textId="3CFE4781" w:rsidR="009A09E0" w:rsidRPr="009A09E0" w:rsidRDefault="009A09E0" w:rsidP="003C33FE">
      <w:pPr>
        <w:pStyle w:val="ListParagraph"/>
        <w:widowControl w:val="0"/>
        <w:numPr>
          <w:ilvl w:val="0"/>
          <w:numId w:val="29"/>
        </w:numPr>
        <w:spacing w:before="0" w:after="140" w:line="280" w:lineRule="atLeast"/>
        <w:ind w:left="426" w:hanging="426"/>
        <w:contextualSpacing w:val="0"/>
        <w:jc w:val="left"/>
        <w:rPr>
          <w:rFonts w:ascii="Gill Sans MT" w:hAnsi="Gill Sans MT"/>
          <w:sz w:val="22"/>
        </w:rPr>
      </w:pPr>
      <w:r w:rsidRPr="009A09E0">
        <w:rPr>
          <w:rFonts w:ascii="Gill Sans MT" w:hAnsi="Gill Sans MT"/>
          <w:sz w:val="22"/>
        </w:rPr>
        <w:t xml:space="preserve">The review of the </w:t>
      </w:r>
      <w:r w:rsidRPr="00112CB2">
        <w:rPr>
          <w:rFonts w:ascii="Gill Sans MT" w:hAnsi="Gill Sans MT"/>
          <w:i/>
          <w:sz w:val="22"/>
        </w:rPr>
        <w:t>Liquor Licensing Act 1990</w:t>
      </w:r>
      <w:r w:rsidRPr="009A09E0">
        <w:rPr>
          <w:rFonts w:ascii="Gill Sans MT" w:hAnsi="Gill Sans MT"/>
          <w:sz w:val="22"/>
        </w:rPr>
        <w:t xml:space="preserve"> was completed in 2015. The </w:t>
      </w:r>
      <w:r w:rsidRPr="00875B0E">
        <w:rPr>
          <w:rFonts w:ascii="Gill Sans MT" w:hAnsi="Gill Sans MT"/>
          <w:i/>
          <w:sz w:val="22"/>
        </w:rPr>
        <w:t xml:space="preserve">Liquor Licensing </w:t>
      </w:r>
      <w:r w:rsidR="00875B0E">
        <w:rPr>
          <w:rFonts w:ascii="Gill Sans MT" w:hAnsi="Gill Sans MT"/>
          <w:i/>
          <w:sz w:val="22"/>
        </w:rPr>
        <w:t>A</w:t>
      </w:r>
      <w:r w:rsidRPr="00875B0E">
        <w:rPr>
          <w:rFonts w:ascii="Gill Sans MT" w:hAnsi="Gill Sans MT"/>
          <w:i/>
          <w:sz w:val="22"/>
        </w:rPr>
        <w:t>mendment Bill 2015</w:t>
      </w:r>
      <w:r>
        <w:rPr>
          <w:rFonts w:ascii="Gill Sans MT" w:hAnsi="Gill Sans MT"/>
          <w:sz w:val="22"/>
        </w:rPr>
        <w:t xml:space="preserve"> </w:t>
      </w:r>
      <w:r w:rsidRPr="009A09E0">
        <w:rPr>
          <w:rFonts w:ascii="Gill Sans MT" w:hAnsi="Gill Sans MT"/>
          <w:sz w:val="22"/>
        </w:rPr>
        <w:t>amend</w:t>
      </w:r>
      <w:r>
        <w:rPr>
          <w:rFonts w:ascii="Gill Sans MT" w:hAnsi="Gill Sans MT"/>
          <w:sz w:val="22"/>
        </w:rPr>
        <w:t>ed</w:t>
      </w:r>
      <w:r w:rsidRPr="009A09E0">
        <w:rPr>
          <w:rFonts w:ascii="Gill Sans MT" w:hAnsi="Gill Sans MT"/>
          <w:sz w:val="22"/>
        </w:rPr>
        <w:t xml:space="preserve"> the </w:t>
      </w:r>
      <w:r w:rsidRPr="009A09E0">
        <w:rPr>
          <w:rFonts w:ascii="Gill Sans MT" w:hAnsi="Gill Sans MT"/>
          <w:i/>
          <w:iCs/>
          <w:sz w:val="22"/>
        </w:rPr>
        <w:t xml:space="preserve">Liquor Licensing Act 1990 </w:t>
      </w:r>
      <w:r w:rsidRPr="009A09E0">
        <w:rPr>
          <w:rFonts w:ascii="Gill Sans MT" w:hAnsi="Gill Sans MT"/>
          <w:sz w:val="22"/>
        </w:rPr>
        <w:t xml:space="preserve">to: </w:t>
      </w:r>
    </w:p>
    <w:p w14:paraId="6F3A44DA" w14:textId="77777777" w:rsidR="009A09E0" w:rsidRPr="00991F71" w:rsidRDefault="009A09E0" w:rsidP="003C33FE">
      <w:pPr>
        <w:pStyle w:val="Default"/>
        <w:widowControl w:val="0"/>
        <w:numPr>
          <w:ilvl w:val="0"/>
          <w:numId w:val="30"/>
        </w:numPr>
        <w:tabs>
          <w:tab w:val="clear" w:pos="567"/>
          <w:tab w:val="num" w:pos="1418"/>
        </w:tabs>
        <w:spacing w:after="140" w:line="280" w:lineRule="atLeast"/>
        <w:ind w:left="1701" w:hanging="709"/>
        <w:rPr>
          <w:sz w:val="22"/>
          <w:szCs w:val="22"/>
        </w:rPr>
      </w:pPr>
      <w:r w:rsidRPr="00991F71">
        <w:rPr>
          <w:sz w:val="22"/>
          <w:szCs w:val="22"/>
        </w:rPr>
        <w:t xml:space="preserve">align it more clearly with the Tasmanian Alcohol Action Framework; </w:t>
      </w:r>
    </w:p>
    <w:p w14:paraId="297050CA" w14:textId="77777777" w:rsidR="009A09E0" w:rsidRPr="00991F71" w:rsidRDefault="009A09E0" w:rsidP="003C33FE">
      <w:pPr>
        <w:pStyle w:val="Default"/>
        <w:widowControl w:val="0"/>
        <w:numPr>
          <w:ilvl w:val="0"/>
          <w:numId w:val="30"/>
        </w:numPr>
        <w:tabs>
          <w:tab w:val="clear" w:pos="567"/>
          <w:tab w:val="num" w:pos="1418"/>
        </w:tabs>
        <w:spacing w:after="140" w:line="280" w:lineRule="atLeast"/>
        <w:ind w:left="1701" w:hanging="709"/>
        <w:rPr>
          <w:sz w:val="22"/>
          <w:szCs w:val="22"/>
        </w:rPr>
      </w:pPr>
      <w:r w:rsidRPr="00991F71">
        <w:rPr>
          <w:sz w:val="22"/>
          <w:szCs w:val="22"/>
        </w:rPr>
        <w:t xml:space="preserve">make the licensing and permit process more efficient and transparent; </w:t>
      </w:r>
    </w:p>
    <w:p w14:paraId="54D816F2" w14:textId="77777777" w:rsidR="009A09E0" w:rsidRPr="00991F71" w:rsidRDefault="009A09E0" w:rsidP="003C33FE">
      <w:pPr>
        <w:pStyle w:val="Default"/>
        <w:widowControl w:val="0"/>
        <w:numPr>
          <w:ilvl w:val="0"/>
          <w:numId w:val="30"/>
        </w:numPr>
        <w:tabs>
          <w:tab w:val="clear" w:pos="567"/>
          <w:tab w:val="num" w:pos="1418"/>
        </w:tabs>
        <w:spacing w:after="140" w:line="280" w:lineRule="atLeast"/>
        <w:ind w:left="1701" w:hanging="709"/>
        <w:rPr>
          <w:sz w:val="22"/>
          <w:szCs w:val="22"/>
        </w:rPr>
      </w:pPr>
      <w:r w:rsidRPr="00991F71">
        <w:rPr>
          <w:sz w:val="22"/>
          <w:szCs w:val="22"/>
        </w:rPr>
        <w:t xml:space="preserve">improve flexibility and effectiveness in compliance and enforcement; </w:t>
      </w:r>
    </w:p>
    <w:p w14:paraId="00F51949" w14:textId="77777777" w:rsidR="009A09E0" w:rsidRPr="00991F71" w:rsidRDefault="009A09E0" w:rsidP="003C33FE">
      <w:pPr>
        <w:pStyle w:val="Default"/>
        <w:widowControl w:val="0"/>
        <w:numPr>
          <w:ilvl w:val="0"/>
          <w:numId w:val="30"/>
        </w:numPr>
        <w:tabs>
          <w:tab w:val="clear" w:pos="567"/>
          <w:tab w:val="num" w:pos="1418"/>
        </w:tabs>
        <w:spacing w:after="140" w:line="280" w:lineRule="atLeast"/>
        <w:ind w:left="1701" w:hanging="709"/>
        <w:rPr>
          <w:sz w:val="22"/>
          <w:szCs w:val="22"/>
        </w:rPr>
      </w:pPr>
      <w:r w:rsidRPr="00991F71">
        <w:rPr>
          <w:sz w:val="22"/>
          <w:szCs w:val="22"/>
        </w:rPr>
        <w:t xml:space="preserve">strengthen consumer responsibilities; and </w:t>
      </w:r>
    </w:p>
    <w:p w14:paraId="55D7B10D" w14:textId="77777777" w:rsidR="009A09E0" w:rsidRPr="00991F71" w:rsidRDefault="009A09E0" w:rsidP="003C33FE">
      <w:pPr>
        <w:pStyle w:val="Default"/>
        <w:widowControl w:val="0"/>
        <w:numPr>
          <w:ilvl w:val="0"/>
          <w:numId w:val="30"/>
        </w:numPr>
        <w:tabs>
          <w:tab w:val="clear" w:pos="567"/>
          <w:tab w:val="num" w:pos="1418"/>
        </w:tabs>
        <w:spacing w:after="140" w:line="280" w:lineRule="atLeast"/>
        <w:ind w:left="1701" w:hanging="709"/>
        <w:rPr>
          <w:sz w:val="22"/>
          <w:szCs w:val="22"/>
        </w:rPr>
      </w:pPr>
      <w:r w:rsidRPr="00991F71">
        <w:rPr>
          <w:sz w:val="22"/>
          <w:szCs w:val="22"/>
        </w:rPr>
        <w:t xml:space="preserve">provide greater clarity to industry, the regulatory bodies and Tasmania Police. </w:t>
      </w:r>
    </w:p>
    <w:p w14:paraId="4EB02E05" w14:textId="77777777" w:rsidR="009A09E0" w:rsidRPr="0077580C" w:rsidRDefault="000D6AD0" w:rsidP="003C33FE">
      <w:pPr>
        <w:pStyle w:val="ListParagraph"/>
        <w:widowControl w:val="0"/>
        <w:numPr>
          <w:ilvl w:val="0"/>
          <w:numId w:val="31"/>
        </w:numPr>
        <w:tabs>
          <w:tab w:val="clear" w:pos="567"/>
          <w:tab w:val="num" w:pos="426"/>
        </w:tabs>
        <w:autoSpaceDE w:val="0"/>
        <w:autoSpaceDN w:val="0"/>
        <w:adjustRightInd w:val="0"/>
        <w:spacing w:before="0" w:after="140" w:line="280" w:lineRule="atLeast"/>
        <w:ind w:left="425" w:hanging="425"/>
        <w:contextualSpacing w:val="0"/>
        <w:rPr>
          <w:rFonts w:ascii="Gill Sans MT" w:hAnsi="Gill Sans MT"/>
          <w:sz w:val="22"/>
        </w:rPr>
      </w:pPr>
      <w:r>
        <w:rPr>
          <w:rFonts w:ascii="Gill Sans MT" w:hAnsi="Gill Sans MT" w:cs="Arial"/>
          <w:sz w:val="22"/>
        </w:rPr>
        <w:t>T</w:t>
      </w:r>
      <w:r w:rsidR="009A09E0" w:rsidRPr="009A09E0">
        <w:rPr>
          <w:rFonts w:ascii="Gill Sans MT" w:hAnsi="Gill Sans MT" w:cs="Arial"/>
          <w:sz w:val="22"/>
        </w:rPr>
        <w:t xml:space="preserve">he associated </w:t>
      </w:r>
      <w:r w:rsidR="009A09E0" w:rsidRPr="009A09E0">
        <w:rPr>
          <w:rFonts w:ascii="Gill Sans MT" w:hAnsi="Gill Sans MT" w:cs="Arial"/>
          <w:i/>
          <w:iCs/>
          <w:sz w:val="22"/>
        </w:rPr>
        <w:t xml:space="preserve">Liquor Licensing Regulations 2016, Liquor Licensing (Fees) Amendment Regulations 2016 and Liquor Licensing (Infringement Notices) Amendment Regulations 2016 </w:t>
      </w:r>
      <w:r w:rsidR="009A09E0" w:rsidRPr="009A09E0">
        <w:rPr>
          <w:rFonts w:ascii="Gill Sans MT" w:hAnsi="Gill Sans MT" w:cs="Arial"/>
          <w:sz w:val="22"/>
        </w:rPr>
        <w:t>commence</w:t>
      </w:r>
      <w:r>
        <w:rPr>
          <w:rFonts w:ascii="Gill Sans MT" w:hAnsi="Gill Sans MT" w:cs="Arial"/>
          <w:sz w:val="22"/>
        </w:rPr>
        <w:t>d</w:t>
      </w:r>
      <w:r w:rsidR="009A09E0" w:rsidRPr="009A09E0">
        <w:rPr>
          <w:rFonts w:ascii="Gill Sans MT" w:hAnsi="Gill Sans MT" w:cs="Arial"/>
          <w:sz w:val="22"/>
        </w:rPr>
        <w:t xml:space="preserve"> on I September 2016. </w:t>
      </w:r>
    </w:p>
    <w:p w14:paraId="57E24324" w14:textId="77777777" w:rsidR="0077580C" w:rsidRPr="00B61995" w:rsidRDefault="0077580C" w:rsidP="00AC2E57">
      <w:pPr>
        <w:pStyle w:val="ListParagraph"/>
        <w:widowControl w:val="0"/>
        <w:numPr>
          <w:ilvl w:val="0"/>
          <w:numId w:val="31"/>
        </w:numPr>
        <w:spacing w:before="0" w:after="140" w:line="280" w:lineRule="atLeast"/>
        <w:ind w:left="425" w:hanging="425"/>
        <w:contextualSpacing w:val="0"/>
        <w:rPr>
          <w:rFonts w:ascii="Gill Sans MT" w:hAnsi="Gill Sans MT"/>
          <w:sz w:val="22"/>
        </w:rPr>
      </w:pPr>
      <w:r w:rsidRPr="00823055">
        <w:rPr>
          <w:rFonts w:ascii="Gill Sans MT" w:hAnsi="Gill Sans MT"/>
          <w:sz w:val="22"/>
        </w:rPr>
        <w:t xml:space="preserve">The </w:t>
      </w:r>
      <w:proofErr w:type="spellStart"/>
      <w:r w:rsidRPr="00823055">
        <w:rPr>
          <w:rFonts w:ascii="Gill Sans MT" w:hAnsi="Gill Sans MT"/>
          <w:sz w:val="22"/>
        </w:rPr>
        <w:t>Stenning</w:t>
      </w:r>
      <w:proofErr w:type="spellEnd"/>
      <w:r w:rsidRPr="00823055">
        <w:rPr>
          <w:rFonts w:ascii="Gill Sans MT" w:hAnsi="Gill Sans MT"/>
          <w:sz w:val="22"/>
        </w:rPr>
        <w:t xml:space="preserve"> Report also recommended an annual stand-alone report on the impact of alcohol on the public health of Tasmanians.  Public Health Services of </w:t>
      </w:r>
      <w:r>
        <w:rPr>
          <w:rFonts w:ascii="Gill Sans MT" w:hAnsi="Gill Sans MT"/>
          <w:sz w:val="22"/>
        </w:rPr>
        <w:t>the Department of Health</w:t>
      </w:r>
      <w:r w:rsidRPr="00823055">
        <w:rPr>
          <w:rFonts w:ascii="Gill Sans MT" w:hAnsi="Gill Sans MT"/>
          <w:sz w:val="22"/>
        </w:rPr>
        <w:t xml:space="preserve"> </w:t>
      </w:r>
      <w:r>
        <w:rPr>
          <w:rFonts w:ascii="Gill Sans MT" w:hAnsi="Gill Sans MT"/>
          <w:sz w:val="22"/>
        </w:rPr>
        <w:t xml:space="preserve">compiles the </w:t>
      </w:r>
      <w:r w:rsidRPr="00823055">
        <w:rPr>
          <w:rFonts w:ascii="Gill Sans MT" w:hAnsi="Gill Sans MT"/>
          <w:sz w:val="22"/>
        </w:rPr>
        <w:t>Tasmanian Alcohol Data and Trends Report</w:t>
      </w:r>
      <w:r>
        <w:rPr>
          <w:rFonts w:ascii="Gill Sans MT" w:hAnsi="Gill Sans MT"/>
          <w:sz w:val="22"/>
        </w:rPr>
        <w:t xml:space="preserve">s </w:t>
      </w:r>
      <w:r w:rsidRPr="00823055">
        <w:rPr>
          <w:rFonts w:ascii="Gill Sans MT" w:hAnsi="Gill Sans MT"/>
          <w:sz w:val="22"/>
        </w:rPr>
        <w:t>and associated fact sheets</w:t>
      </w:r>
      <w:r>
        <w:rPr>
          <w:rFonts w:ascii="Gill Sans MT" w:hAnsi="Gill Sans MT"/>
          <w:sz w:val="22"/>
        </w:rPr>
        <w:t>,</w:t>
      </w:r>
      <w:r w:rsidRPr="00823055">
        <w:rPr>
          <w:rFonts w:ascii="Gill Sans MT" w:hAnsi="Gill Sans MT"/>
          <w:sz w:val="22"/>
        </w:rPr>
        <w:t xml:space="preserve"> available from Public Health Services Publications page</w:t>
      </w:r>
      <w:r w:rsidR="00807500">
        <w:rPr>
          <w:rFonts w:ascii="Gill Sans MT" w:hAnsi="Gill Sans MT"/>
          <w:sz w:val="22"/>
        </w:rPr>
        <w:t>. The most recent was compiled in 2016</w:t>
      </w:r>
      <w:r w:rsidRPr="00823055">
        <w:rPr>
          <w:rFonts w:ascii="Gill Sans MT" w:hAnsi="Gill Sans MT"/>
          <w:sz w:val="22"/>
        </w:rPr>
        <w:t xml:space="preserve"> </w:t>
      </w:r>
      <w:hyperlink r:id="rId23" w:history="1">
        <w:r w:rsidRPr="00823055">
          <w:rPr>
            <w:rStyle w:val="Hyperlink"/>
            <w:rFonts w:ascii="Gill Sans MT" w:hAnsi="Gill Sans MT"/>
            <w:sz w:val="22"/>
          </w:rPr>
          <w:t>Tasmanian Alcohol Data and Trends Report 2016</w:t>
        </w:r>
      </w:hyperlink>
      <w:r w:rsidR="00807500">
        <w:rPr>
          <w:rFonts w:ascii="Gill Sans MT" w:hAnsi="Gill Sans MT"/>
          <w:sz w:val="22"/>
        </w:rPr>
        <w:t>.</w:t>
      </w:r>
    </w:p>
    <w:p w14:paraId="1E36A74E" w14:textId="77777777" w:rsidR="000D6AD0" w:rsidRDefault="00731550" w:rsidP="00AC2E57">
      <w:pPr>
        <w:pStyle w:val="ListParagraph"/>
        <w:widowControl w:val="0"/>
        <w:numPr>
          <w:ilvl w:val="0"/>
          <w:numId w:val="31"/>
        </w:numPr>
        <w:tabs>
          <w:tab w:val="clear" w:pos="567"/>
          <w:tab w:val="num" w:pos="426"/>
        </w:tabs>
        <w:autoSpaceDE w:val="0"/>
        <w:autoSpaceDN w:val="0"/>
        <w:adjustRightInd w:val="0"/>
        <w:spacing w:before="0" w:after="140" w:line="280" w:lineRule="atLeast"/>
        <w:ind w:left="425" w:hanging="425"/>
        <w:contextualSpacing w:val="0"/>
        <w:jc w:val="left"/>
        <w:rPr>
          <w:rFonts w:ascii="Gill Sans MT" w:hAnsi="Gill Sans MT"/>
          <w:sz w:val="22"/>
        </w:rPr>
      </w:pPr>
      <w:r>
        <w:rPr>
          <w:rFonts w:ascii="Gill Sans MT" w:hAnsi="Gill Sans MT"/>
          <w:sz w:val="22"/>
        </w:rPr>
        <w:t>The Departments of Police, Fire and Emergency Management and Health</w:t>
      </w:r>
      <w:r w:rsidR="000D6AD0" w:rsidRPr="000D6AD0">
        <w:rPr>
          <w:rFonts w:ascii="Gill Sans MT" w:hAnsi="Gill Sans MT"/>
          <w:sz w:val="22"/>
        </w:rPr>
        <w:t xml:space="preserve"> worked collaboratively on </w:t>
      </w:r>
      <w:r>
        <w:rPr>
          <w:rFonts w:ascii="Gill Sans MT" w:hAnsi="Gill Sans MT"/>
          <w:sz w:val="22"/>
        </w:rPr>
        <w:t xml:space="preserve">the </w:t>
      </w:r>
      <w:r w:rsidR="000D6AD0" w:rsidRPr="000D6AD0">
        <w:rPr>
          <w:rFonts w:ascii="Gill Sans MT" w:hAnsi="Gill Sans MT"/>
          <w:sz w:val="22"/>
        </w:rPr>
        <w:t xml:space="preserve">National Drug Law Enforcement Research Fund (NDLERF) research projects </w:t>
      </w:r>
      <w:r w:rsidR="000D6AD0" w:rsidRPr="000D6AD0">
        <w:rPr>
          <w:rFonts w:ascii="Gill Sans MT" w:hAnsi="Gill Sans MT"/>
          <w:i/>
          <w:iCs/>
          <w:sz w:val="22"/>
        </w:rPr>
        <w:t>Drug and Alcohol intoxication and Subsequent Harm in night-time Entertainment Districts</w:t>
      </w:r>
      <w:r w:rsidR="000D6AD0" w:rsidRPr="000D6AD0">
        <w:rPr>
          <w:rFonts w:ascii="Gill Sans MT" w:hAnsi="Gill Sans MT"/>
          <w:sz w:val="22"/>
        </w:rPr>
        <w:t xml:space="preserve"> (DASHED) </w:t>
      </w:r>
      <w:r>
        <w:rPr>
          <w:rFonts w:ascii="Gill Sans MT" w:hAnsi="Gill Sans MT"/>
          <w:sz w:val="22"/>
        </w:rPr>
        <w:t>research pr</w:t>
      </w:r>
      <w:r w:rsidR="000D6AD0" w:rsidRPr="000D6AD0">
        <w:rPr>
          <w:rFonts w:ascii="Gill Sans MT" w:hAnsi="Gill Sans MT"/>
          <w:sz w:val="22"/>
        </w:rPr>
        <w:t>oject</w:t>
      </w:r>
      <w:r w:rsidR="00A94D70">
        <w:rPr>
          <w:rFonts w:ascii="Gill Sans MT" w:hAnsi="Gill Sans MT"/>
          <w:sz w:val="22"/>
        </w:rPr>
        <w:t xml:space="preserve"> (Miller et al, 2016)</w:t>
      </w:r>
      <w:r w:rsidR="00B61995">
        <w:rPr>
          <w:rFonts w:ascii="Gill Sans MT" w:hAnsi="Gill Sans MT"/>
          <w:sz w:val="22"/>
        </w:rPr>
        <w:t xml:space="preserve"> </w:t>
      </w:r>
      <w:r w:rsidR="000D6AD0" w:rsidRPr="000D6AD0">
        <w:rPr>
          <w:rFonts w:ascii="Gill Sans MT" w:hAnsi="Gill Sans MT"/>
          <w:sz w:val="22"/>
        </w:rPr>
        <w:t xml:space="preserve">DASHED investigated harms associated with alcohol in the night-time economy in Canberra and Hobart between April and December 2015. The study used a combination of interviews with patrons in night-time entertainment precincts, covert observations in and around licensed establishments, and examination of administrative data sources such as alcohol and substance related ambulance attendances, alcohol related presentations in emergency department, recorded alcohol-related offence data and liquor </w:t>
      </w:r>
      <w:proofErr w:type="spellStart"/>
      <w:r w:rsidR="000D6AD0" w:rsidRPr="000D6AD0">
        <w:rPr>
          <w:rFonts w:ascii="Gill Sans MT" w:hAnsi="Gill Sans MT"/>
          <w:sz w:val="22"/>
        </w:rPr>
        <w:t>licence</w:t>
      </w:r>
      <w:proofErr w:type="spellEnd"/>
      <w:r w:rsidR="000D6AD0" w:rsidRPr="000D6AD0">
        <w:rPr>
          <w:rFonts w:ascii="Gill Sans MT" w:hAnsi="Gill Sans MT"/>
          <w:sz w:val="22"/>
        </w:rPr>
        <w:t xml:space="preserve"> enforcement actions.  In Hobart the project was undertaken from 10</w:t>
      </w:r>
      <w:r w:rsidR="00951C26">
        <w:rPr>
          <w:rFonts w:ascii="Gill Sans MT" w:hAnsi="Gill Sans MT"/>
          <w:sz w:val="22"/>
        </w:rPr>
        <w:t xml:space="preserve"> </w:t>
      </w:r>
      <w:r w:rsidR="000D6AD0" w:rsidRPr="000D6AD0">
        <w:rPr>
          <w:rFonts w:ascii="Gill Sans MT" w:hAnsi="Gill Sans MT"/>
          <w:sz w:val="22"/>
        </w:rPr>
        <w:t>pm to 2</w:t>
      </w:r>
      <w:r w:rsidR="00951C26">
        <w:rPr>
          <w:rFonts w:ascii="Gill Sans MT" w:hAnsi="Gill Sans MT"/>
          <w:sz w:val="22"/>
        </w:rPr>
        <w:t xml:space="preserve"> </w:t>
      </w:r>
      <w:r w:rsidR="000D6AD0" w:rsidRPr="000D6AD0">
        <w:rPr>
          <w:rFonts w:ascii="Gill Sans MT" w:hAnsi="Gill Sans MT"/>
          <w:sz w:val="22"/>
        </w:rPr>
        <w:t xml:space="preserve">am (Friday and Saturday nights) outside entertainment venues, with 738 patrons participating, and almost 150 hours of structured observation in </w:t>
      </w:r>
      <w:r w:rsidR="00951C26" w:rsidRPr="000D6AD0">
        <w:rPr>
          <w:rFonts w:ascii="Gill Sans MT" w:hAnsi="Gill Sans MT"/>
          <w:sz w:val="22"/>
        </w:rPr>
        <w:t>licensed</w:t>
      </w:r>
      <w:r w:rsidR="000D6AD0" w:rsidRPr="000D6AD0">
        <w:rPr>
          <w:rFonts w:ascii="Gill Sans MT" w:hAnsi="Gill Sans MT"/>
          <w:sz w:val="22"/>
        </w:rPr>
        <w:t xml:space="preserve"> venues.</w:t>
      </w:r>
    </w:p>
    <w:p w14:paraId="31BD0C0A" w14:textId="77777777" w:rsidR="0077580C" w:rsidRDefault="0077580C" w:rsidP="00AC2E57">
      <w:pPr>
        <w:pStyle w:val="ListParagraph"/>
        <w:widowControl w:val="0"/>
        <w:numPr>
          <w:ilvl w:val="0"/>
          <w:numId w:val="31"/>
        </w:numPr>
        <w:tabs>
          <w:tab w:val="clear" w:pos="567"/>
          <w:tab w:val="num" w:pos="426"/>
        </w:tabs>
        <w:autoSpaceDE w:val="0"/>
        <w:autoSpaceDN w:val="0"/>
        <w:adjustRightInd w:val="0"/>
        <w:spacing w:before="0" w:after="140" w:line="280" w:lineRule="atLeast"/>
        <w:ind w:left="425" w:hanging="425"/>
        <w:contextualSpacing w:val="0"/>
        <w:jc w:val="left"/>
        <w:rPr>
          <w:rFonts w:ascii="Gill Sans MT" w:hAnsi="Gill Sans MT"/>
          <w:sz w:val="22"/>
        </w:rPr>
      </w:pPr>
      <w:r>
        <w:rPr>
          <w:rFonts w:ascii="Gill Sans MT" w:hAnsi="Gill Sans MT"/>
          <w:sz w:val="22"/>
        </w:rPr>
        <w:t xml:space="preserve">The DASHED project reported key findings and made proposals for decreasing alcohol-related harms </w:t>
      </w:r>
      <w:hyperlink r:id="rId24" w:history="1">
        <w:r w:rsidRPr="00B61995">
          <w:rPr>
            <w:rStyle w:val="Hyperlink"/>
            <w:rFonts w:ascii="Gill Sans MT" w:hAnsi="Gill Sans MT"/>
            <w:sz w:val="22"/>
          </w:rPr>
          <w:t>NDLERF - DASHED Project</w:t>
        </w:r>
      </w:hyperlink>
      <w:r>
        <w:rPr>
          <w:rFonts w:ascii="Gill Sans MT" w:hAnsi="Gill Sans MT"/>
          <w:sz w:val="22"/>
        </w:rPr>
        <w:t>.</w:t>
      </w:r>
    </w:p>
    <w:p w14:paraId="3C83B805" w14:textId="77777777" w:rsidR="00951C26" w:rsidRPr="00951C26" w:rsidRDefault="00A40E72" w:rsidP="00FA0EC1">
      <w:pPr>
        <w:pStyle w:val="ListParagraph"/>
        <w:widowControl w:val="0"/>
        <w:numPr>
          <w:ilvl w:val="0"/>
          <w:numId w:val="33"/>
        </w:numPr>
        <w:tabs>
          <w:tab w:val="num" w:pos="426"/>
        </w:tabs>
        <w:spacing w:before="0" w:after="140" w:line="280" w:lineRule="atLeast"/>
        <w:ind w:left="426" w:hanging="426"/>
        <w:contextualSpacing w:val="0"/>
        <w:jc w:val="left"/>
        <w:rPr>
          <w:rFonts w:ascii="Gill Sans MT" w:hAnsi="Gill Sans MT" w:cs="Arial"/>
          <w:sz w:val="22"/>
        </w:rPr>
      </w:pPr>
      <w:r>
        <w:rPr>
          <w:rFonts w:ascii="Gill Sans MT" w:hAnsi="Gill Sans MT" w:cs="Arial"/>
          <w:sz w:val="22"/>
        </w:rPr>
        <w:t>The</w:t>
      </w:r>
      <w:r w:rsidR="00951C26" w:rsidRPr="00951C26">
        <w:rPr>
          <w:rFonts w:ascii="Gill Sans MT" w:hAnsi="Gill Sans MT" w:cs="Arial"/>
          <w:sz w:val="22"/>
        </w:rPr>
        <w:t xml:space="preserve"> Mandatory Alcohol Interlock Program (MAIP)</w:t>
      </w:r>
      <w:r>
        <w:rPr>
          <w:rFonts w:ascii="Gill Sans MT" w:hAnsi="Gill Sans MT" w:cs="Arial"/>
          <w:sz w:val="22"/>
        </w:rPr>
        <w:t xml:space="preserve"> </w:t>
      </w:r>
      <w:r w:rsidR="00951C26" w:rsidRPr="00951C26">
        <w:rPr>
          <w:rFonts w:ascii="Gill Sans MT" w:hAnsi="Gill Sans MT" w:cs="Arial"/>
          <w:sz w:val="22"/>
        </w:rPr>
        <w:t>came into effect on 31 July 2013.  The MAIP was developed to help stop drivers convicted of repeat or high</w:t>
      </w:r>
      <w:r w:rsidR="00951C26">
        <w:rPr>
          <w:rFonts w:ascii="Gill Sans MT" w:hAnsi="Gill Sans MT" w:cs="Arial"/>
          <w:sz w:val="22"/>
        </w:rPr>
        <w:t>-</w:t>
      </w:r>
      <w:r w:rsidR="00951C26" w:rsidRPr="00951C26">
        <w:rPr>
          <w:rFonts w:ascii="Gill Sans MT" w:hAnsi="Gill Sans MT" w:cs="Arial"/>
          <w:sz w:val="22"/>
        </w:rPr>
        <w:t>level drink driving offences from driving if they have alcohol in their system.  Under the MAIP, a person is required to participate in the MAIP if they commit one of the following offences:</w:t>
      </w:r>
    </w:p>
    <w:p w14:paraId="2437703C" w14:textId="77777777" w:rsidR="00951C26" w:rsidRPr="00951C26" w:rsidRDefault="00951C26" w:rsidP="00FA0EC1">
      <w:pPr>
        <w:widowControl w:val="0"/>
        <w:numPr>
          <w:ilvl w:val="0"/>
          <w:numId w:val="34"/>
        </w:numPr>
        <w:tabs>
          <w:tab w:val="clear" w:pos="567"/>
        </w:tabs>
        <w:spacing w:line="280" w:lineRule="atLeast"/>
        <w:ind w:left="851" w:hanging="425"/>
        <w:rPr>
          <w:rFonts w:cs="Arial"/>
        </w:rPr>
      </w:pPr>
      <w:r w:rsidRPr="00951C26">
        <w:rPr>
          <w:rFonts w:cs="Arial"/>
        </w:rPr>
        <w:t xml:space="preserve">a drink driving offence recording a BAC of 0.15 or more </w:t>
      </w:r>
    </w:p>
    <w:p w14:paraId="7DD96E28" w14:textId="77777777" w:rsidR="00951C26" w:rsidRPr="00951C26" w:rsidRDefault="00951C26" w:rsidP="00FA0EC1">
      <w:pPr>
        <w:widowControl w:val="0"/>
        <w:numPr>
          <w:ilvl w:val="0"/>
          <w:numId w:val="34"/>
        </w:numPr>
        <w:tabs>
          <w:tab w:val="clear" w:pos="567"/>
        </w:tabs>
        <w:spacing w:line="280" w:lineRule="atLeast"/>
        <w:ind w:left="851" w:hanging="425"/>
        <w:rPr>
          <w:rFonts w:cs="Arial"/>
        </w:rPr>
      </w:pPr>
      <w:r w:rsidRPr="00951C26">
        <w:rPr>
          <w:rFonts w:cs="Arial"/>
        </w:rPr>
        <w:lastRenderedPageBreak/>
        <w:t>two or more drink driving offences in a five</w:t>
      </w:r>
      <w:r w:rsidR="00A40E72">
        <w:rPr>
          <w:rFonts w:cs="Arial"/>
        </w:rPr>
        <w:t>-</w:t>
      </w:r>
      <w:r w:rsidRPr="00951C26">
        <w:rPr>
          <w:rFonts w:cs="Arial"/>
        </w:rPr>
        <w:t xml:space="preserve">year period </w:t>
      </w:r>
    </w:p>
    <w:p w14:paraId="1963F5DC" w14:textId="77777777" w:rsidR="00951C26" w:rsidRPr="00951C26" w:rsidRDefault="00951C26" w:rsidP="00FA0EC1">
      <w:pPr>
        <w:widowControl w:val="0"/>
        <w:numPr>
          <w:ilvl w:val="0"/>
          <w:numId w:val="34"/>
        </w:numPr>
        <w:tabs>
          <w:tab w:val="clear" w:pos="567"/>
        </w:tabs>
        <w:spacing w:line="280" w:lineRule="atLeast"/>
        <w:ind w:left="851" w:hanging="425"/>
        <w:rPr>
          <w:rFonts w:cs="Arial"/>
        </w:rPr>
      </w:pPr>
      <w:r w:rsidRPr="00951C26">
        <w:rPr>
          <w:rFonts w:cs="Arial"/>
        </w:rPr>
        <w:t xml:space="preserve">driving under the influence of liquor </w:t>
      </w:r>
    </w:p>
    <w:p w14:paraId="2ADBC02E" w14:textId="77777777" w:rsidR="00951C26" w:rsidRPr="00951C26" w:rsidRDefault="00951C26" w:rsidP="00FA0EC1">
      <w:pPr>
        <w:widowControl w:val="0"/>
        <w:numPr>
          <w:ilvl w:val="0"/>
          <w:numId w:val="34"/>
        </w:numPr>
        <w:tabs>
          <w:tab w:val="clear" w:pos="567"/>
        </w:tabs>
        <w:spacing w:line="280" w:lineRule="atLeast"/>
        <w:ind w:left="851" w:hanging="425"/>
        <w:rPr>
          <w:rFonts w:cs="Arial"/>
        </w:rPr>
      </w:pPr>
      <w:r w:rsidRPr="00951C26">
        <w:rPr>
          <w:rFonts w:cs="Arial"/>
        </w:rPr>
        <w:t>failing to provide a breath/blood specimen for analysis.</w:t>
      </w:r>
    </w:p>
    <w:p w14:paraId="4B687496" w14:textId="77777777" w:rsidR="00951C26" w:rsidRDefault="00951C26" w:rsidP="003C33FE">
      <w:pPr>
        <w:pStyle w:val="ListParagraph"/>
        <w:widowControl w:val="0"/>
        <w:spacing w:before="0" w:after="140" w:line="280" w:lineRule="atLeast"/>
        <w:ind w:left="426"/>
        <w:contextualSpacing w:val="0"/>
        <w:jc w:val="left"/>
        <w:rPr>
          <w:rFonts w:ascii="Gill Sans MT" w:hAnsi="Gill Sans MT" w:cs="Arial"/>
          <w:sz w:val="22"/>
        </w:rPr>
      </w:pPr>
      <w:r w:rsidRPr="00951C26">
        <w:rPr>
          <w:rFonts w:ascii="Gill Sans MT" w:hAnsi="Gill Sans MT" w:cs="Arial"/>
          <w:sz w:val="22"/>
        </w:rPr>
        <w:t xml:space="preserve">To legally drive, MAIP participants must fit an alcohol interlock from an approved supplier to any vehicles they drive.  An alcohol ignition interlock stops a vehicle from being started if the driver has been drinking alcohol - a "Lockout". Interlocks protect road users by ensuring drivers are separating drinking and driving.  </w:t>
      </w:r>
    </w:p>
    <w:p w14:paraId="014D6A19" w14:textId="77777777" w:rsidR="001C5A3C" w:rsidRPr="009A6143" w:rsidRDefault="001C5A3C" w:rsidP="00FA0EC1">
      <w:pPr>
        <w:pStyle w:val="ListParagraph"/>
        <w:widowControl w:val="0"/>
        <w:numPr>
          <w:ilvl w:val="0"/>
          <w:numId w:val="35"/>
        </w:numPr>
        <w:spacing w:before="0" w:after="140" w:line="280" w:lineRule="atLeast"/>
        <w:ind w:left="426" w:hanging="426"/>
        <w:contextualSpacing w:val="0"/>
        <w:jc w:val="left"/>
      </w:pPr>
      <w:r w:rsidRPr="007D0C39">
        <w:rPr>
          <w:rFonts w:ascii="Gill Sans MT" w:hAnsi="Gill Sans MT"/>
          <w:sz w:val="22"/>
        </w:rPr>
        <w:t xml:space="preserve">A desktop review of actions and activities under the Tasmanian Alcohol Action Framework was completed by the Alcohol Advisory </w:t>
      </w:r>
      <w:r w:rsidR="00556B08" w:rsidRPr="007D0C39">
        <w:rPr>
          <w:rFonts w:ascii="Gill Sans MT" w:hAnsi="Gill Sans MT"/>
          <w:sz w:val="22"/>
        </w:rPr>
        <w:t>Group and</w:t>
      </w:r>
      <w:r w:rsidRPr="007D0C39">
        <w:rPr>
          <w:rFonts w:ascii="Gill Sans MT" w:hAnsi="Gill Sans MT"/>
          <w:sz w:val="22"/>
        </w:rPr>
        <w:t xml:space="preserve"> published </w:t>
      </w:r>
      <w:r w:rsidR="00556B08">
        <w:rPr>
          <w:rFonts w:ascii="Gill Sans MT" w:hAnsi="Gill Sans MT"/>
          <w:sz w:val="22"/>
        </w:rPr>
        <w:t xml:space="preserve">on the Tasmanian Drug Strategy website </w:t>
      </w:r>
      <w:r w:rsidRPr="007D0C39">
        <w:rPr>
          <w:rFonts w:ascii="Gill Sans MT" w:hAnsi="Gill Sans MT"/>
          <w:sz w:val="22"/>
        </w:rPr>
        <w:t>in 2017</w:t>
      </w:r>
      <w:r w:rsidR="00B9248E">
        <w:rPr>
          <w:rFonts w:ascii="Gill Sans MT" w:hAnsi="Gill Sans MT"/>
          <w:sz w:val="22"/>
        </w:rPr>
        <w:t xml:space="preserve"> </w:t>
      </w:r>
      <w:hyperlink r:id="rId25" w:history="1">
        <w:r w:rsidR="00B9248E" w:rsidRPr="00B9248E">
          <w:rPr>
            <w:rStyle w:val="Hyperlink"/>
            <w:rFonts w:ascii="Gill Sans MT" w:hAnsi="Gill Sans MT"/>
            <w:sz w:val="22"/>
          </w:rPr>
          <w:t>Tasmanian_Alcohol_Action_Framework_-_Activities_Report_2010-2016.pdf</w:t>
        </w:r>
      </w:hyperlink>
      <w:r w:rsidR="00556B08">
        <w:rPr>
          <w:rFonts w:ascii="Gill Sans MT" w:hAnsi="Gill Sans MT"/>
          <w:sz w:val="22"/>
        </w:rPr>
        <w:t xml:space="preserve">. </w:t>
      </w:r>
      <w:r w:rsidRPr="007D0C39">
        <w:rPr>
          <w:rFonts w:ascii="Gill Sans MT" w:hAnsi="Gill Sans MT"/>
          <w:sz w:val="22"/>
        </w:rPr>
        <w:t>Th</w:t>
      </w:r>
      <w:r w:rsidR="00A77588">
        <w:rPr>
          <w:rFonts w:ascii="Gill Sans MT" w:hAnsi="Gill Sans MT"/>
          <w:sz w:val="22"/>
        </w:rPr>
        <w:t>at</w:t>
      </w:r>
      <w:r w:rsidRPr="007D0C39">
        <w:rPr>
          <w:rFonts w:ascii="Gill Sans MT" w:hAnsi="Gill Sans MT"/>
          <w:sz w:val="22"/>
        </w:rPr>
        <w:t xml:space="preserve"> report demonstrates significant engagement of stakeholders</w:t>
      </w:r>
      <w:r w:rsidR="00A77588">
        <w:rPr>
          <w:rFonts w:ascii="Gill Sans MT" w:hAnsi="Gill Sans MT"/>
          <w:sz w:val="22"/>
        </w:rPr>
        <w:t xml:space="preserve">, </w:t>
      </w:r>
      <w:r w:rsidRPr="007D0C39">
        <w:rPr>
          <w:rFonts w:ascii="Gill Sans MT" w:hAnsi="Gill Sans MT"/>
          <w:sz w:val="22"/>
        </w:rPr>
        <w:t xml:space="preserve">and </w:t>
      </w:r>
      <w:proofErr w:type="spellStart"/>
      <w:r w:rsidRPr="007D0C39">
        <w:rPr>
          <w:rFonts w:ascii="Gill Sans MT" w:hAnsi="Gill Sans MT"/>
          <w:sz w:val="22"/>
        </w:rPr>
        <w:t>summarises</w:t>
      </w:r>
      <w:proofErr w:type="spellEnd"/>
      <w:r w:rsidRPr="007D0C39">
        <w:rPr>
          <w:rFonts w:ascii="Gill Sans MT" w:hAnsi="Gill Sans MT"/>
          <w:sz w:val="22"/>
        </w:rPr>
        <w:t xml:space="preserve"> </w:t>
      </w:r>
      <w:r w:rsidR="00A44F61">
        <w:rPr>
          <w:rFonts w:ascii="Gill Sans MT" w:hAnsi="Gill Sans MT"/>
          <w:sz w:val="22"/>
        </w:rPr>
        <w:t xml:space="preserve">and includes </w:t>
      </w:r>
      <w:r w:rsidRPr="007D0C39">
        <w:rPr>
          <w:rFonts w:ascii="Gill Sans MT" w:hAnsi="Gill Sans MT"/>
          <w:sz w:val="22"/>
        </w:rPr>
        <w:t xml:space="preserve">the range of activities undertaken by many Government agencies, non-government </w:t>
      </w:r>
      <w:proofErr w:type="spellStart"/>
      <w:r w:rsidRPr="007D0C39">
        <w:rPr>
          <w:rFonts w:ascii="Gill Sans MT" w:hAnsi="Gill Sans MT"/>
          <w:sz w:val="22"/>
        </w:rPr>
        <w:t>organisations</w:t>
      </w:r>
      <w:proofErr w:type="spellEnd"/>
      <w:r w:rsidRPr="007D0C39">
        <w:rPr>
          <w:rFonts w:ascii="Gill Sans MT" w:hAnsi="Gill Sans MT"/>
          <w:sz w:val="22"/>
        </w:rPr>
        <w:t xml:space="preserve"> and local councils to address alcohol-related harm within their community.  </w:t>
      </w:r>
    </w:p>
    <w:p w14:paraId="11EBFF20" w14:textId="77777777" w:rsidR="009A6143" w:rsidRPr="009A6143" w:rsidRDefault="009A6143" w:rsidP="00FA0EC1">
      <w:pPr>
        <w:pStyle w:val="ListParagraph"/>
        <w:widowControl w:val="0"/>
        <w:numPr>
          <w:ilvl w:val="0"/>
          <w:numId w:val="35"/>
        </w:numPr>
        <w:spacing w:before="0" w:after="140" w:line="280" w:lineRule="atLeast"/>
        <w:ind w:left="426" w:hanging="426"/>
        <w:contextualSpacing w:val="0"/>
        <w:jc w:val="left"/>
        <w:rPr>
          <w:rFonts w:ascii="Gill Sans MT" w:hAnsi="Gill Sans MT"/>
          <w:sz w:val="22"/>
        </w:rPr>
      </w:pPr>
      <w:r w:rsidRPr="007D0C39">
        <w:rPr>
          <w:rFonts w:ascii="Gill Sans MT" w:hAnsi="Gill Sans MT"/>
          <w:sz w:val="22"/>
        </w:rPr>
        <w:t xml:space="preserve">The IAWGD </w:t>
      </w:r>
      <w:r>
        <w:rPr>
          <w:rFonts w:ascii="Gill Sans MT" w:hAnsi="Gill Sans MT"/>
          <w:sz w:val="22"/>
        </w:rPr>
        <w:t>supports</w:t>
      </w:r>
      <w:r w:rsidRPr="007D0C39">
        <w:rPr>
          <w:rFonts w:ascii="Gill Sans MT" w:hAnsi="Gill Sans MT"/>
          <w:sz w:val="22"/>
        </w:rPr>
        <w:t xml:space="preserve"> an alcohol simulation modelling project being led by the Department of Health Public Health Services.  The Australian Prevention Partnership Centre, Sax Institute of New South Wales </w:t>
      </w:r>
      <w:r>
        <w:rPr>
          <w:rFonts w:ascii="Gill Sans MT" w:hAnsi="Gill Sans MT"/>
          <w:sz w:val="22"/>
        </w:rPr>
        <w:t>was</w:t>
      </w:r>
      <w:r w:rsidRPr="007D0C39">
        <w:rPr>
          <w:rFonts w:ascii="Gill Sans MT" w:hAnsi="Gill Sans MT"/>
          <w:sz w:val="22"/>
        </w:rPr>
        <w:t xml:space="preserve"> engaged to develop a simulation model of alcohol use in Tasmania, to forecast the effectiveness of a variety of approaches to reducing alcohol-related harm and explore what combination of interventions is likely to produce maximum community-wide impact</w:t>
      </w:r>
      <w:r>
        <w:rPr>
          <w:rFonts w:ascii="Gill Sans MT" w:hAnsi="Gill Sans MT"/>
          <w:sz w:val="22"/>
        </w:rPr>
        <w:t xml:space="preserve">. The modelling and a summary report paper will be completed in 2019, to inform the development of a new Tasmanian Alcohol Action Framework in 2020. </w:t>
      </w:r>
    </w:p>
    <w:p w14:paraId="25A73164" w14:textId="77777777" w:rsidR="00CB50AF" w:rsidRPr="00A44F61" w:rsidRDefault="00363089" w:rsidP="00FA0EC1">
      <w:pPr>
        <w:widowControl w:val="0"/>
        <w:spacing w:line="280" w:lineRule="atLeast"/>
        <w:rPr>
          <w:b/>
        </w:rPr>
      </w:pPr>
      <w:r w:rsidRPr="00A44F61">
        <w:rPr>
          <w:b/>
        </w:rPr>
        <w:t>Continue</w:t>
      </w:r>
      <w:r w:rsidR="00CB50AF" w:rsidRPr="00A44F61">
        <w:rPr>
          <w:b/>
        </w:rPr>
        <w:t xml:space="preserve"> Tasmania’s commitment to the prevention and reduction of tobacco related harm</w:t>
      </w:r>
    </w:p>
    <w:p w14:paraId="1A1E823D" w14:textId="77777777" w:rsidR="001165D9" w:rsidRPr="00D07EAC" w:rsidRDefault="001165D9" w:rsidP="00FA0EC1">
      <w:pPr>
        <w:pStyle w:val="ListParagraph"/>
        <w:widowControl w:val="0"/>
        <w:numPr>
          <w:ilvl w:val="0"/>
          <w:numId w:val="36"/>
        </w:numPr>
        <w:spacing w:before="0" w:after="140" w:line="280" w:lineRule="atLeast"/>
        <w:ind w:left="426" w:hanging="426"/>
        <w:contextualSpacing w:val="0"/>
        <w:jc w:val="left"/>
        <w:rPr>
          <w:rFonts w:ascii="Gill Sans MT" w:hAnsi="Gill Sans MT"/>
          <w:sz w:val="22"/>
        </w:rPr>
      </w:pPr>
      <w:r w:rsidRPr="00D07EAC">
        <w:rPr>
          <w:rFonts w:ascii="Gill Sans MT" w:hAnsi="Gill Sans MT"/>
          <w:sz w:val="22"/>
        </w:rPr>
        <w:t xml:space="preserve">The </w:t>
      </w:r>
      <w:r w:rsidRPr="00D07EAC">
        <w:rPr>
          <w:rFonts w:ascii="Gill Sans MT" w:hAnsi="Gill Sans MT"/>
          <w:i/>
          <w:sz w:val="22"/>
        </w:rPr>
        <w:t>Tasmanian Tobacco Control Plan 2017-2021</w:t>
      </w:r>
      <w:r w:rsidRPr="00D07EAC">
        <w:rPr>
          <w:rFonts w:ascii="Gill Sans MT" w:hAnsi="Gill Sans MT"/>
          <w:sz w:val="22"/>
        </w:rPr>
        <w:t xml:space="preserve"> </w:t>
      </w:r>
      <w:r w:rsidR="00937255">
        <w:rPr>
          <w:rFonts w:ascii="Gill Sans MT" w:hAnsi="Gill Sans MT"/>
          <w:sz w:val="22"/>
        </w:rPr>
        <w:t xml:space="preserve">(Plan) </w:t>
      </w:r>
      <w:r w:rsidRPr="00D07EAC">
        <w:rPr>
          <w:rFonts w:ascii="Gill Sans MT" w:hAnsi="Gill Sans MT"/>
          <w:sz w:val="22"/>
        </w:rPr>
        <w:t xml:space="preserve">builds on previous iterations and provides direction on ways to reduce tobacco use and its harms through actions by all sectors and levels of government. </w:t>
      </w:r>
    </w:p>
    <w:p w14:paraId="1F772322" w14:textId="77777777" w:rsidR="001165D9" w:rsidRPr="00D07EAC" w:rsidRDefault="001165D9" w:rsidP="00FA0EC1">
      <w:pPr>
        <w:pStyle w:val="ListParagraph"/>
        <w:widowControl w:val="0"/>
        <w:numPr>
          <w:ilvl w:val="0"/>
          <w:numId w:val="36"/>
        </w:numPr>
        <w:spacing w:before="0" w:after="140" w:line="280" w:lineRule="atLeast"/>
        <w:ind w:left="426" w:hanging="426"/>
        <w:contextualSpacing w:val="0"/>
        <w:jc w:val="left"/>
        <w:rPr>
          <w:rFonts w:ascii="Gill Sans MT" w:hAnsi="Gill Sans MT"/>
          <w:sz w:val="22"/>
        </w:rPr>
      </w:pPr>
      <w:r w:rsidRPr="00D07EAC">
        <w:rPr>
          <w:rFonts w:ascii="Gill Sans MT" w:hAnsi="Gill Sans MT"/>
          <w:sz w:val="22"/>
        </w:rPr>
        <w:t xml:space="preserve">The Plan was developed in 2016 by the Tobacco Control Coalition. </w:t>
      </w:r>
    </w:p>
    <w:p w14:paraId="388B9DB1" w14:textId="77777777" w:rsidR="001165D9" w:rsidRPr="00D07EAC" w:rsidRDefault="001165D9" w:rsidP="00FA0EC1">
      <w:pPr>
        <w:pStyle w:val="ListParagraph"/>
        <w:widowControl w:val="0"/>
        <w:numPr>
          <w:ilvl w:val="0"/>
          <w:numId w:val="36"/>
        </w:numPr>
        <w:spacing w:before="0" w:after="140" w:line="280" w:lineRule="atLeast"/>
        <w:ind w:left="426" w:hanging="426"/>
        <w:contextualSpacing w:val="0"/>
        <w:jc w:val="left"/>
        <w:rPr>
          <w:rFonts w:ascii="Gill Sans MT" w:hAnsi="Gill Sans MT"/>
          <w:sz w:val="22"/>
        </w:rPr>
      </w:pPr>
      <w:r w:rsidRPr="00D07EAC">
        <w:rPr>
          <w:rFonts w:ascii="Gill Sans MT" w:hAnsi="Gill Sans MT"/>
          <w:sz w:val="22"/>
        </w:rPr>
        <w:t>It has four priority areas; to encourage and help people who smoke to quit for good; to prevent smoking uptake and de-</w:t>
      </w:r>
      <w:proofErr w:type="spellStart"/>
      <w:r w:rsidRPr="00D07EAC">
        <w:rPr>
          <w:rFonts w:ascii="Gill Sans MT" w:hAnsi="Gill Sans MT"/>
          <w:sz w:val="22"/>
        </w:rPr>
        <w:t>normalise</w:t>
      </w:r>
      <w:proofErr w:type="spellEnd"/>
      <w:r w:rsidRPr="00D07EAC">
        <w:rPr>
          <w:rFonts w:ascii="Gill Sans MT" w:hAnsi="Gill Sans MT"/>
          <w:sz w:val="22"/>
        </w:rPr>
        <w:t xml:space="preserve"> tobacco use; to reduce smoking by high prevalence groups; and to strengthen and integrate the evidence base.  </w:t>
      </w:r>
    </w:p>
    <w:p w14:paraId="5F2D5253" w14:textId="77777777" w:rsidR="001165D9" w:rsidRPr="00D07EAC" w:rsidRDefault="001165D9" w:rsidP="003C33FE">
      <w:pPr>
        <w:pStyle w:val="ListParagraph"/>
        <w:widowControl w:val="0"/>
        <w:numPr>
          <w:ilvl w:val="0"/>
          <w:numId w:val="36"/>
        </w:numPr>
        <w:spacing w:before="0" w:after="140" w:line="280" w:lineRule="atLeast"/>
        <w:ind w:left="426" w:hanging="426"/>
        <w:contextualSpacing w:val="0"/>
        <w:jc w:val="left"/>
        <w:rPr>
          <w:rFonts w:ascii="Gill Sans MT" w:hAnsi="Gill Sans MT"/>
          <w:sz w:val="22"/>
        </w:rPr>
      </w:pPr>
      <w:r w:rsidRPr="00D07EAC">
        <w:rPr>
          <w:rFonts w:ascii="Gill Sans MT" w:hAnsi="Gill Sans MT"/>
          <w:sz w:val="22"/>
        </w:rPr>
        <w:t xml:space="preserve">The Tobacco Control Coalition has established three working groups to implement the Plan: </w:t>
      </w:r>
    </w:p>
    <w:p w14:paraId="68BC132A" w14:textId="77777777" w:rsidR="001165D9" w:rsidRPr="00D07EAC" w:rsidRDefault="001165D9" w:rsidP="00FA0EC1">
      <w:pPr>
        <w:pStyle w:val="ListParagraph"/>
        <w:widowControl w:val="0"/>
        <w:numPr>
          <w:ilvl w:val="0"/>
          <w:numId w:val="37"/>
        </w:numPr>
        <w:spacing w:before="0" w:after="140" w:line="280" w:lineRule="atLeast"/>
        <w:ind w:left="851" w:hanging="284"/>
        <w:contextualSpacing w:val="0"/>
        <w:jc w:val="left"/>
        <w:rPr>
          <w:rFonts w:ascii="Gill Sans MT" w:hAnsi="Gill Sans MT"/>
          <w:sz w:val="22"/>
        </w:rPr>
      </w:pPr>
      <w:r w:rsidRPr="00D07EAC">
        <w:rPr>
          <w:rFonts w:ascii="Gill Sans MT" w:hAnsi="Gill Sans MT"/>
          <w:sz w:val="22"/>
        </w:rPr>
        <w:t xml:space="preserve">Smoke Free Young People. </w:t>
      </w:r>
      <w:r w:rsidRPr="00D07EAC">
        <w:rPr>
          <w:rFonts w:ascii="Gill Sans MT" w:hAnsi="Gill Sans MT" w:cs="Arial"/>
          <w:sz w:val="22"/>
        </w:rPr>
        <w:t>This working group has developed the</w:t>
      </w:r>
      <w:r w:rsidRPr="00D07EAC">
        <w:rPr>
          <w:rFonts w:ascii="Gill Sans MT" w:hAnsi="Gill Sans MT" w:cs="Arial"/>
          <w:i/>
          <w:sz w:val="22"/>
        </w:rPr>
        <w:t xml:space="preserve"> Smoke Free Young People Strategy 2019-2021 </w:t>
      </w:r>
      <w:r w:rsidRPr="00D07EAC">
        <w:rPr>
          <w:rFonts w:ascii="Gill Sans MT" w:hAnsi="Gill Sans MT"/>
          <w:sz w:val="22"/>
        </w:rPr>
        <w:t xml:space="preserve">to prevent young Tasmanians from taking up smoking and to help those already smoking to quit. </w:t>
      </w:r>
      <w:r w:rsidRPr="00D07EAC">
        <w:rPr>
          <w:rFonts w:ascii="Gill Sans MT" w:hAnsi="Gill Sans MT" w:cs="Arial"/>
          <w:sz w:val="22"/>
        </w:rPr>
        <w:t xml:space="preserve">It has five key strategic areas: a targeted youth campaign, school-based support and information, normalize being smoke-free, cessation support for young people and adult role modelling.  The campaign component of the Strategy uses the </w:t>
      </w:r>
      <w:r w:rsidRPr="00D07EAC">
        <w:rPr>
          <w:rFonts w:ascii="Gill Sans MT" w:hAnsi="Gill Sans MT" w:cs="Arial"/>
          <w:i/>
          <w:sz w:val="22"/>
        </w:rPr>
        <w:t>Smoke Free Generation – Be a part of It!</w:t>
      </w:r>
      <w:r w:rsidRPr="00D07EAC">
        <w:rPr>
          <w:rFonts w:ascii="Gill Sans MT" w:hAnsi="Gill Sans MT" w:cs="Arial"/>
          <w:sz w:val="22"/>
        </w:rPr>
        <w:t xml:space="preserve"> branding including a website. </w:t>
      </w:r>
    </w:p>
    <w:p w14:paraId="12382A5F" w14:textId="77777777" w:rsidR="001165D9" w:rsidRPr="00D07EAC" w:rsidRDefault="001165D9" w:rsidP="00FA0EC1">
      <w:pPr>
        <w:pStyle w:val="ListParagraph"/>
        <w:widowControl w:val="0"/>
        <w:numPr>
          <w:ilvl w:val="0"/>
          <w:numId w:val="37"/>
        </w:numPr>
        <w:spacing w:before="0" w:after="140" w:line="280" w:lineRule="atLeast"/>
        <w:ind w:left="851" w:hanging="284"/>
        <w:contextualSpacing w:val="0"/>
        <w:jc w:val="left"/>
        <w:rPr>
          <w:rFonts w:ascii="Gill Sans MT" w:hAnsi="Gill Sans MT"/>
          <w:sz w:val="22"/>
        </w:rPr>
      </w:pPr>
      <w:r w:rsidRPr="00D07EAC">
        <w:rPr>
          <w:rFonts w:ascii="Gill Sans MT" w:hAnsi="Gill Sans MT" w:cs="Arial"/>
          <w:sz w:val="22"/>
        </w:rPr>
        <w:t xml:space="preserve">Smoke Free Priority Populations. This working group has developed No One Left Behind: An action plan to achieve a smoke free Tasmania 2018-2021.  It targets populations group with comparatively high smoking rates with targeted interventions to support quit attempts. Identified priority populations are pregnant women, middle-aged men, Aboriginal people, people with mental ill-health and on low incomes. </w:t>
      </w:r>
    </w:p>
    <w:p w14:paraId="0FBE3882" w14:textId="77777777" w:rsidR="001165D9" w:rsidRPr="00D07EAC" w:rsidRDefault="001165D9" w:rsidP="00FA0EC1">
      <w:pPr>
        <w:pStyle w:val="ListParagraph"/>
        <w:widowControl w:val="0"/>
        <w:numPr>
          <w:ilvl w:val="0"/>
          <w:numId w:val="37"/>
        </w:numPr>
        <w:spacing w:before="0" w:after="140" w:line="280" w:lineRule="atLeast"/>
        <w:ind w:left="851" w:hanging="284"/>
        <w:contextualSpacing w:val="0"/>
        <w:jc w:val="left"/>
        <w:rPr>
          <w:rFonts w:ascii="Gill Sans MT" w:hAnsi="Gill Sans MT"/>
          <w:sz w:val="22"/>
        </w:rPr>
      </w:pPr>
      <w:r w:rsidRPr="00D07EAC">
        <w:rPr>
          <w:rFonts w:ascii="Gill Sans MT" w:hAnsi="Gill Sans MT" w:cs="Arial"/>
          <w:sz w:val="22"/>
        </w:rPr>
        <w:t xml:space="preserve">Tobacco Control Evaluation. The Plan commits to progress reports by the end of 2019 and 2021. This working group is responsible for the development of an evaluation framework to guide the reports which will provide recommendations on where efforts should be focused for the remainder of the Tobacco Control Plan and beyond.   </w:t>
      </w:r>
    </w:p>
    <w:p w14:paraId="0F8A9D55" w14:textId="77777777" w:rsidR="001165D9" w:rsidRPr="00D07EAC" w:rsidRDefault="001165D9" w:rsidP="00FA0EC1">
      <w:pPr>
        <w:pStyle w:val="ListParagraph"/>
        <w:widowControl w:val="0"/>
        <w:numPr>
          <w:ilvl w:val="0"/>
          <w:numId w:val="47"/>
        </w:numPr>
        <w:spacing w:before="0" w:after="140" w:line="280" w:lineRule="atLeast"/>
        <w:ind w:left="426" w:hanging="426"/>
        <w:contextualSpacing w:val="0"/>
        <w:rPr>
          <w:rFonts w:ascii="Gill Sans MT" w:hAnsi="Gill Sans MT"/>
          <w:sz w:val="22"/>
        </w:rPr>
      </w:pPr>
      <w:r w:rsidRPr="00D07EAC">
        <w:rPr>
          <w:rFonts w:ascii="Gill Sans MT" w:hAnsi="Gill Sans MT"/>
          <w:sz w:val="22"/>
        </w:rPr>
        <w:lastRenderedPageBreak/>
        <w:t xml:space="preserve">The Tobacco Control Plan complements measures highlighted in the Healthy Tasmania Five Year Strategic Plan which also addresses tobacco use. This include a commitment to effective levels of social marketing, targeted quit campaigns, strategies to help pregnant women quit, increased </w:t>
      </w:r>
      <w:proofErr w:type="spellStart"/>
      <w:r w:rsidRPr="00D07EAC">
        <w:rPr>
          <w:rFonts w:ascii="Gill Sans MT" w:hAnsi="Gill Sans MT"/>
          <w:sz w:val="22"/>
        </w:rPr>
        <w:t>licence</w:t>
      </w:r>
      <w:proofErr w:type="spellEnd"/>
      <w:r w:rsidRPr="00D07EAC">
        <w:rPr>
          <w:rFonts w:ascii="Gill Sans MT" w:hAnsi="Gill Sans MT"/>
          <w:sz w:val="22"/>
        </w:rPr>
        <w:t xml:space="preserve"> fees, penalties for the supply of tobacco to a child, the regulation of electronic cigarettes and support for activities that address the illicit tobacco trade. </w:t>
      </w:r>
    </w:p>
    <w:p w14:paraId="53C29201" w14:textId="77777777" w:rsidR="001165D9" w:rsidRPr="00D07EAC" w:rsidRDefault="001165D9" w:rsidP="00FA0EC1">
      <w:pPr>
        <w:pStyle w:val="ListParagraph"/>
        <w:widowControl w:val="0"/>
        <w:numPr>
          <w:ilvl w:val="0"/>
          <w:numId w:val="47"/>
        </w:numPr>
        <w:spacing w:before="0" w:after="140" w:line="280" w:lineRule="atLeast"/>
        <w:ind w:left="426" w:hanging="426"/>
        <w:contextualSpacing w:val="0"/>
        <w:rPr>
          <w:rFonts w:ascii="Gill Sans MT" w:hAnsi="Gill Sans MT"/>
          <w:sz w:val="22"/>
        </w:rPr>
      </w:pPr>
      <w:r w:rsidRPr="00D07EAC">
        <w:rPr>
          <w:rFonts w:ascii="Gill Sans MT" w:hAnsi="Gill Sans MT"/>
          <w:sz w:val="22"/>
        </w:rPr>
        <w:t xml:space="preserve">Key achievements over the last five years include: </w:t>
      </w:r>
    </w:p>
    <w:p w14:paraId="6A681F2E"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sz w:val="22"/>
        </w:rPr>
        <w:t xml:space="preserve">Additional funding per annum to increase social marketing. </w:t>
      </w:r>
    </w:p>
    <w:p w14:paraId="37811A5A"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sz w:val="22"/>
        </w:rPr>
        <w:t xml:space="preserve">The </w:t>
      </w:r>
      <w:r w:rsidRPr="00D07EAC">
        <w:rPr>
          <w:rFonts w:ascii="Gill Sans MT" w:hAnsi="Gill Sans MT"/>
          <w:i/>
          <w:sz w:val="22"/>
        </w:rPr>
        <w:t>Antenatal Carbon Monoxide (CO) Opt-Out Referral</w:t>
      </w:r>
      <w:r w:rsidRPr="00D07EAC">
        <w:rPr>
          <w:rFonts w:ascii="Gill Sans MT" w:hAnsi="Gill Sans MT"/>
          <w:sz w:val="22"/>
        </w:rPr>
        <w:t xml:space="preserve"> project within the Midwifery Group Practice in southern Tasmania.  This project incorporated routine CO breath testing as part of antenatal care by midwives to increase the identification of pregnant women that smoke, referral to smoking cessation support and smoke free outcomes. </w:t>
      </w:r>
    </w:p>
    <w:p w14:paraId="6EDCC516"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iCs/>
          <w:sz w:val="22"/>
        </w:rPr>
        <w:t xml:space="preserve">The </w:t>
      </w:r>
      <w:r w:rsidRPr="00D07EAC">
        <w:rPr>
          <w:rFonts w:ascii="Gill Sans MT" w:hAnsi="Gill Sans MT"/>
          <w:i/>
          <w:iCs/>
          <w:sz w:val="22"/>
        </w:rPr>
        <w:t>Public Health Act 1997</w:t>
      </w:r>
      <w:r w:rsidRPr="00D07EAC">
        <w:rPr>
          <w:rFonts w:ascii="Gill Sans MT" w:hAnsi="Gill Sans MT"/>
          <w:iCs/>
          <w:sz w:val="22"/>
        </w:rPr>
        <w:t xml:space="preserve"> was amended with the </w:t>
      </w:r>
      <w:r w:rsidRPr="00D07EAC">
        <w:rPr>
          <w:rFonts w:ascii="Gill Sans MT" w:hAnsi="Gill Sans MT"/>
          <w:i/>
          <w:iCs/>
          <w:sz w:val="22"/>
        </w:rPr>
        <w:t>Public Health (Healthy Tasmania) Bill 2017</w:t>
      </w:r>
      <w:r w:rsidRPr="00D07EAC">
        <w:rPr>
          <w:rFonts w:ascii="Gill Sans MT" w:hAnsi="Gill Sans MT"/>
          <w:sz w:val="22"/>
        </w:rPr>
        <w:t xml:space="preserve"> that commenced on 26 November 2017. The news laws increased the penalty for the sale and supply of tobacco to a child; permit the Director of Public Health to apply a fit and proper test on </w:t>
      </w:r>
      <w:proofErr w:type="spellStart"/>
      <w:r w:rsidRPr="00D07EAC">
        <w:rPr>
          <w:rFonts w:ascii="Gill Sans MT" w:hAnsi="Gill Sans MT"/>
          <w:sz w:val="22"/>
        </w:rPr>
        <w:t>licence</w:t>
      </w:r>
      <w:proofErr w:type="spellEnd"/>
      <w:r w:rsidRPr="00D07EAC">
        <w:rPr>
          <w:rFonts w:ascii="Gill Sans MT" w:hAnsi="Gill Sans MT"/>
          <w:sz w:val="22"/>
        </w:rPr>
        <w:t xml:space="preserve"> holders and require licensees to report sales volume data. The new laws also regulate electronic cigarettes by requiring retailers to have a </w:t>
      </w:r>
      <w:proofErr w:type="spellStart"/>
      <w:r w:rsidRPr="00D07EAC">
        <w:rPr>
          <w:rFonts w:ascii="Gill Sans MT" w:hAnsi="Gill Sans MT"/>
          <w:sz w:val="22"/>
        </w:rPr>
        <w:t>licence</w:t>
      </w:r>
      <w:proofErr w:type="spellEnd"/>
      <w:r w:rsidRPr="00D07EAC">
        <w:rPr>
          <w:rFonts w:ascii="Gill Sans MT" w:hAnsi="Gill Sans MT"/>
          <w:sz w:val="22"/>
        </w:rPr>
        <w:t xml:space="preserve"> to sell, bans on display and advertising, sale to a child and use in areas required to be smoke free. </w:t>
      </w:r>
    </w:p>
    <w:p w14:paraId="2681C764"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iCs/>
          <w:sz w:val="22"/>
        </w:rPr>
        <w:t>The</w:t>
      </w:r>
      <w:r w:rsidRPr="00D07EAC">
        <w:rPr>
          <w:rFonts w:ascii="Gill Sans MT" w:hAnsi="Gill Sans MT"/>
          <w:i/>
          <w:iCs/>
          <w:sz w:val="22"/>
        </w:rPr>
        <w:t xml:space="preserve"> Public Health (Tobacco Seller’s </w:t>
      </w:r>
      <w:proofErr w:type="spellStart"/>
      <w:r w:rsidRPr="00D07EAC">
        <w:rPr>
          <w:rFonts w:ascii="Gill Sans MT" w:hAnsi="Gill Sans MT"/>
          <w:i/>
          <w:iCs/>
          <w:sz w:val="22"/>
        </w:rPr>
        <w:t>Licence</w:t>
      </w:r>
      <w:proofErr w:type="spellEnd"/>
      <w:r w:rsidRPr="00D07EAC">
        <w:rPr>
          <w:rFonts w:ascii="Gill Sans MT" w:hAnsi="Gill Sans MT"/>
          <w:i/>
          <w:iCs/>
          <w:sz w:val="22"/>
        </w:rPr>
        <w:t>) Regulations 2009</w:t>
      </w:r>
      <w:r w:rsidRPr="00D07EAC">
        <w:rPr>
          <w:rFonts w:ascii="Gill Sans MT" w:hAnsi="Gill Sans MT"/>
          <w:sz w:val="22"/>
        </w:rPr>
        <w:t xml:space="preserve"> were amended to increase the fee for a tobacco seller’s </w:t>
      </w:r>
      <w:proofErr w:type="spellStart"/>
      <w:r w:rsidRPr="00D07EAC">
        <w:rPr>
          <w:rFonts w:ascii="Gill Sans MT" w:hAnsi="Gill Sans MT"/>
          <w:sz w:val="22"/>
        </w:rPr>
        <w:t>licence</w:t>
      </w:r>
      <w:proofErr w:type="spellEnd"/>
      <w:r w:rsidRPr="00D07EAC">
        <w:rPr>
          <w:rFonts w:ascii="Gill Sans MT" w:hAnsi="Gill Sans MT"/>
          <w:sz w:val="22"/>
        </w:rPr>
        <w:t xml:space="preserve"> to $731.34 from 1 January 2017 and to $1132 per </w:t>
      </w:r>
      <w:proofErr w:type="spellStart"/>
      <w:r w:rsidRPr="00D07EAC">
        <w:rPr>
          <w:rFonts w:ascii="Gill Sans MT" w:hAnsi="Gill Sans MT"/>
          <w:sz w:val="22"/>
        </w:rPr>
        <w:t>licence</w:t>
      </w:r>
      <w:proofErr w:type="spellEnd"/>
      <w:r w:rsidRPr="00D07EAC">
        <w:rPr>
          <w:rFonts w:ascii="Gill Sans MT" w:hAnsi="Gill Sans MT"/>
          <w:sz w:val="22"/>
        </w:rPr>
        <w:t xml:space="preserve"> from 1 January 2018. The first fee increase has led to an 8 per cent decrease in the number of tobacco retailers in Tasmania.  FTE staffing in the Department of Health increased by 1.7 FTE to educate retailers on the new laws. </w:t>
      </w:r>
    </w:p>
    <w:p w14:paraId="5BCB1E78"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sz w:val="22"/>
        </w:rPr>
        <w:t xml:space="preserve">An online licensing for tobacco sellers is being developed. This will improve compliance monitoring and enable collection of information from tobacco retailers on the number of products they sell. This will provide information of where smokers are that will help us to understand where to target actions locally. </w:t>
      </w:r>
    </w:p>
    <w:p w14:paraId="1A5CC4F4"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sz w:val="22"/>
        </w:rPr>
        <w:t xml:space="preserve">Smoke Free Environments project </w:t>
      </w:r>
      <w:r>
        <w:rPr>
          <w:rFonts w:ascii="Gill Sans MT" w:hAnsi="Gill Sans MT"/>
          <w:sz w:val="22"/>
        </w:rPr>
        <w:t xml:space="preserve">commenced in 2019 to increase smoke free areas around hospitals and schools and their surrounds. </w:t>
      </w:r>
    </w:p>
    <w:p w14:paraId="73FC7292"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sz w:val="22"/>
        </w:rPr>
        <w:t xml:space="preserve">Prisons became smoke free from 1 February 2015 following a staged implementation process </w:t>
      </w:r>
    </w:p>
    <w:p w14:paraId="36C43224"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sz w:val="22"/>
        </w:rPr>
        <w:t xml:space="preserve">Tobacco control compliance monitoring. Ongoing activities include inspecting retailer compliance with display and advertising laws and controlled purchase operations for the sale of tobacco to children. Complaints relating to smoke free areas are investigated and smoke free public events are administered and a licensing scheme to sell tobacco and electronic cigarettes is operated with annual fees and applications. </w:t>
      </w:r>
    </w:p>
    <w:p w14:paraId="1FC46686"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sz w:val="22"/>
        </w:rPr>
        <w:t xml:space="preserve">Quit Tasmania website was redeveloped to make it more responsive on all devices, including smartphones and tablets. </w:t>
      </w:r>
    </w:p>
    <w:p w14:paraId="4C9DD52E"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sz w:val="22"/>
        </w:rPr>
        <w:t xml:space="preserve">The Quit Social Marketing Program continues to use television as the primary and most effective medium to highlight messages about the health risks of smoking and the need to quit however in recent years, the delivery of campaign messages has adapted to changing communication formats and expanded to include digital and social media. </w:t>
      </w:r>
    </w:p>
    <w:p w14:paraId="5E082FE2" w14:textId="77777777" w:rsidR="001165D9" w:rsidRPr="00D07EAC" w:rsidRDefault="001165D9" w:rsidP="00043B5E">
      <w:pPr>
        <w:pStyle w:val="ListParagraph"/>
        <w:widowControl w:val="0"/>
        <w:numPr>
          <w:ilvl w:val="0"/>
          <w:numId w:val="48"/>
        </w:numPr>
        <w:spacing w:before="0" w:after="140" w:line="280" w:lineRule="atLeast"/>
        <w:ind w:left="851" w:hanging="284"/>
        <w:contextualSpacing w:val="0"/>
        <w:jc w:val="left"/>
        <w:rPr>
          <w:rFonts w:ascii="Gill Sans MT" w:hAnsi="Gill Sans MT"/>
          <w:sz w:val="22"/>
        </w:rPr>
      </w:pPr>
      <w:r w:rsidRPr="00D07EAC">
        <w:rPr>
          <w:rFonts w:ascii="Gill Sans MT" w:hAnsi="Gill Sans MT"/>
          <w:sz w:val="22"/>
        </w:rPr>
        <w:t xml:space="preserve">The Smoking Cessation Program provides brief intervention training to over 5000 health care workers in public hospitals each year.  This is to ensure all patients are asked about smoking status and provided with appropriate support as a routine part of health care.  The program also provides some support for patients through clinics in each of the main public hospitals. </w:t>
      </w:r>
    </w:p>
    <w:p w14:paraId="04E7BD66" w14:textId="77777777" w:rsidR="00F211D9" w:rsidRDefault="00F211D9" w:rsidP="00FA0EC1">
      <w:pPr>
        <w:widowControl w:val="0"/>
        <w:spacing w:line="280" w:lineRule="atLeast"/>
        <w:rPr>
          <w:b/>
        </w:rPr>
      </w:pPr>
    </w:p>
    <w:p w14:paraId="7B21D9B3" w14:textId="0C7879DD" w:rsidR="00CB50AF" w:rsidRPr="00A44F61" w:rsidRDefault="00363089" w:rsidP="00FA0EC1">
      <w:pPr>
        <w:widowControl w:val="0"/>
        <w:spacing w:line="280" w:lineRule="atLeast"/>
        <w:rPr>
          <w:b/>
        </w:rPr>
      </w:pPr>
      <w:r w:rsidRPr="00A44F61">
        <w:rPr>
          <w:b/>
        </w:rPr>
        <w:lastRenderedPageBreak/>
        <w:t>Reduce the supply and use of illegal drugs, both current and emerging including use of performance and image enhancing drugs; and reduce the inappropriate use, supply and diversion of pharmaceuticals</w:t>
      </w:r>
    </w:p>
    <w:p w14:paraId="5CA997BE" w14:textId="67AF12A0" w:rsidR="0095606A" w:rsidRPr="00FA0EC1" w:rsidRDefault="0095606A" w:rsidP="00AD35A5">
      <w:pPr>
        <w:pStyle w:val="ListParagraph"/>
        <w:numPr>
          <w:ilvl w:val="0"/>
          <w:numId w:val="49"/>
        </w:numPr>
        <w:autoSpaceDE w:val="0"/>
        <w:autoSpaceDN w:val="0"/>
        <w:adjustRightInd w:val="0"/>
        <w:spacing w:before="0" w:after="140" w:line="280" w:lineRule="atLeast"/>
        <w:ind w:left="425" w:hanging="425"/>
        <w:contextualSpacing w:val="0"/>
        <w:jc w:val="left"/>
        <w:rPr>
          <w:rFonts w:ascii="Gill Sans MT" w:hAnsi="Gill Sans MT"/>
          <w:sz w:val="22"/>
        </w:rPr>
      </w:pPr>
      <w:r w:rsidRPr="00FA0EC1">
        <w:rPr>
          <w:rFonts w:ascii="Gill Sans MT" w:hAnsi="Gill Sans MT" w:cs="Calibri"/>
          <w:sz w:val="22"/>
          <w:lang w:eastAsia="en-AU"/>
        </w:rPr>
        <w:t>The</w:t>
      </w:r>
      <w:r w:rsidRPr="00995954">
        <w:rPr>
          <w:rFonts w:ascii="Gill Sans MT" w:hAnsi="Gill Sans MT" w:cs="Calibri"/>
          <w:i/>
          <w:sz w:val="22"/>
          <w:lang w:eastAsia="en-AU"/>
        </w:rPr>
        <w:t xml:space="preserve"> Australian Criminal Intelligence Commission (ACIC) Illicit Drug Data Report 2017-18</w:t>
      </w:r>
      <w:r w:rsidRPr="00995954">
        <w:rPr>
          <w:rFonts w:ascii="Gill Sans MT" w:hAnsi="Gill Sans MT"/>
          <w:i/>
          <w:sz w:val="22"/>
        </w:rPr>
        <w:t xml:space="preserve"> </w:t>
      </w:r>
      <w:r w:rsidR="00AD35A5">
        <w:rPr>
          <w:rFonts w:ascii="Gill Sans MT" w:hAnsi="Gill Sans MT"/>
          <w:sz w:val="22"/>
        </w:rPr>
        <w:t xml:space="preserve">(ACIC, 2019b) </w:t>
      </w:r>
      <w:r w:rsidRPr="00FA0EC1">
        <w:rPr>
          <w:rFonts w:ascii="Gill Sans MT" w:hAnsi="Gill Sans MT"/>
          <w:sz w:val="22"/>
        </w:rPr>
        <w:t xml:space="preserve">showed both the number and weight in grams of amphetamine type stimulants (ATS) seizures in Tasmania between 2016-17 and 2017-18 had decreased by an average of 19.7 per cent.  Tasmania reported the greatest percentage increase in the number of ATS arrests in 2017-18 of 8 per cent. </w:t>
      </w:r>
    </w:p>
    <w:p w14:paraId="712F4DA1" w14:textId="77777777" w:rsidR="0095606A" w:rsidRPr="00FA0EC1" w:rsidRDefault="0095606A" w:rsidP="00AD35A5">
      <w:pPr>
        <w:pStyle w:val="ListParagraph"/>
        <w:numPr>
          <w:ilvl w:val="0"/>
          <w:numId w:val="49"/>
        </w:numPr>
        <w:autoSpaceDE w:val="0"/>
        <w:autoSpaceDN w:val="0"/>
        <w:adjustRightInd w:val="0"/>
        <w:spacing w:before="0" w:after="140" w:line="280" w:lineRule="atLeast"/>
        <w:ind w:left="425" w:hanging="425"/>
        <w:contextualSpacing w:val="0"/>
        <w:jc w:val="left"/>
        <w:rPr>
          <w:rFonts w:ascii="Gill Sans MT" w:hAnsi="Gill Sans MT"/>
          <w:sz w:val="22"/>
        </w:rPr>
      </w:pPr>
      <w:r w:rsidRPr="00FA0EC1">
        <w:rPr>
          <w:rFonts w:ascii="Gill Sans MT" w:hAnsi="Gill Sans MT"/>
          <w:sz w:val="22"/>
        </w:rPr>
        <w:t xml:space="preserve"> Likewise, the number and weight of cannabis seizures had also decreased by 19.9 per cent over the same period, and Tasmania also recorded the greatest percentage increase in the number of cannabis arrests of 9.0 per cent.</w:t>
      </w:r>
    </w:p>
    <w:p w14:paraId="3EC21220" w14:textId="77777777" w:rsidR="00155E71" w:rsidRPr="00155E71" w:rsidRDefault="00155E71" w:rsidP="00FA0EC1">
      <w:pPr>
        <w:widowControl w:val="0"/>
        <w:spacing w:line="280" w:lineRule="atLeast"/>
        <w:rPr>
          <w:i/>
        </w:rPr>
      </w:pPr>
      <w:r w:rsidRPr="00155E71">
        <w:rPr>
          <w:i/>
        </w:rPr>
        <w:t xml:space="preserve">DORA (reportable </w:t>
      </w:r>
      <w:r w:rsidRPr="00155E71">
        <w:rPr>
          <w:i/>
          <w:u w:val="single"/>
        </w:rPr>
        <w:t>D</w:t>
      </w:r>
      <w:r w:rsidRPr="00155E71">
        <w:rPr>
          <w:i/>
        </w:rPr>
        <w:t xml:space="preserve">rugs and Poisons Information System </w:t>
      </w:r>
      <w:r w:rsidRPr="00155E71">
        <w:rPr>
          <w:i/>
          <w:u w:val="single"/>
        </w:rPr>
        <w:t>O</w:t>
      </w:r>
      <w:r w:rsidRPr="00155E71">
        <w:rPr>
          <w:i/>
        </w:rPr>
        <w:t xml:space="preserve">nline </w:t>
      </w:r>
      <w:r w:rsidRPr="00155E71">
        <w:rPr>
          <w:i/>
          <w:u w:val="single"/>
        </w:rPr>
        <w:t>R</w:t>
      </w:r>
      <w:r w:rsidRPr="00155E71">
        <w:rPr>
          <w:i/>
        </w:rPr>
        <w:t xml:space="preserve">emote </w:t>
      </w:r>
      <w:r w:rsidRPr="00155E71">
        <w:rPr>
          <w:i/>
          <w:u w:val="single"/>
        </w:rPr>
        <w:t>A</w:t>
      </w:r>
      <w:r w:rsidRPr="00155E71">
        <w:rPr>
          <w:i/>
        </w:rPr>
        <w:t xml:space="preserve">ccess) </w:t>
      </w:r>
    </w:p>
    <w:p w14:paraId="363E1A2F" w14:textId="77777777" w:rsidR="00CD4D7F" w:rsidRPr="00CD4D7F" w:rsidRDefault="00D056A0" w:rsidP="00FA0EC1">
      <w:pPr>
        <w:pStyle w:val="ListParagraph"/>
        <w:widowControl w:val="0"/>
        <w:numPr>
          <w:ilvl w:val="0"/>
          <w:numId w:val="49"/>
        </w:numPr>
        <w:spacing w:before="0" w:after="140" w:line="280" w:lineRule="atLeast"/>
        <w:ind w:left="425" w:hanging="425"/>
        <w:contextualSpacing w:val="0"/>
        <w:jc w:val="left"/>
        <w:rPr>
          <w:rFonts w:ascii="Gill Sans MT" w:hAnsi="Gill Sans MT"/>
          <w:sz w:val="22"/>
        </w:rPr>
      </w:pPr>
      <w:r w:rsidRPr="00CD4D7F">
        <w:rPr>
          <w:rFonts w:ascii="Gill Sans MT" w:hAnsi="Gill Sans MT"/>
          <w:sz w:val="22"/>
        </w:rPr>
        <w:t xml:space="preserve">Tasmania was the first state or territory to introduce real time reporting </w:t>
      </w:r>
      <w:r w:rsidR="00CD4D7F" w:rsidRPr="00CD4D7F">
        <w:rPr>
          <w:rFonts w:ascii="Gill Sans MT" w:hAnsi="Gill Sans MT"/>
          <w:sz w:val="22"/>
        </w:rPr>
        <w:t>and thus monitoring of the reportable pharmaceuticals such as Schedule 8 medications including opioids (</w:t>
      </w:r>
      <w:proofErr w:type="spellStart"/>
      <w:r w:rsidR="00CD4D7F" w:rsidRPr="00CD4D7F">
        <w:rPr>
          <w:rFonts w:ascii="Gill Sans MT" w:hAnsi="Gill Sans MT"/>
          <w:sz w:val="22"/>
        </w:rPr>
        <w:t>eg</w:t>
      </w:r>
      <w:proofErr w:type="spellEnd"/>
      <w:r w:rsidR="00CD4D7F" w:rsidRPr="00CD4D7F">
        <w:rPr>
          <w:rFonts w:ascii="Gill Sans MT" w:hAnsi="Gill Sans MT"/>
          <w:sz w:val="22"/>
        </w:rPr>
        <w:t xml:space="preserve"> morphine and oxycodone) and benzodiazepines (</w:t>
      </w:r>
      <w:proofErr w:type="spellStart"/>
      <w:r w:rsidR="00CD4D7F" w:rsidRPr="00CD4D7F">
        <w:rPr>
          <w:rFonts w:ascii="Gill Sans MT" w:hAnsi="Gill Sans MT"/>
          <w:sz w:val="22"/>
        </w:rPr>
        <w:t>eg</w:t>
      </w:r>
      <w:proofErr w:type="spellEnd"/>
      <w:r w:rsidR="00CD4D7F" w:rsidRPr="00CD4D7F">
        <w:rPr>
          <w:rFonts w:ascii="Gill Sans MT" w:hAnsi="Gill Sans MT"/>
          <w:sz w:val="22"/>
        </w:rPr>
        <w:t xml:space="preserve"> alprazolam and diazepam) being dispensed in Tasmanian pharmacies.  </w:t>
      </w:r>
      <w:r w:rsidR="00CD4D7F" w:rsidRPr="00BF791C">
        <w:rPr>
          <w:rFonts w:ascii="Gill Sans MT" w:hAnsi="Gill Sans MT"/>
          <w:sz w:val="22"/>
        </w:rPr>
        <w:t>DORA</w:t>
      </w:r>
      <w:r w:rsidR="00CD4D7F" w:rsidRPr="00CD4D7F">
        <w:rPr>
          <w:rFonts w:ascii="Gill Sans MT" w:hAnsi="Gill Sans MT"/>
          <w:sz w:val="22"/>
        </w:rPr>
        <w:t xml:space="preserve"> (reportable </w:t>
      </w:r>
      <w:r w:rsidR="00CD4D7F" w:rsidRPr="00CD4D7F">
        <w:rPr>
          <w:rFonts w:ascii="Gill Sans MT" w:hAnsi="Gill Sans MT"/>
          <w:sz w:val="22"/>
          <w:u w:val="single"/>
        </w:rPr>
        <w:t>D</w:t>
      </w:r>
      <w:r w:rsidR="00CD4D7F" w:rsidRPr="00CD4D7F">
        <w:rPr>
          <w:rFonts w:ascii="Gill Sans MT" w:hAnsi="Gill Sans MT"/>
          <w:sz w:val="22"/>
        </w:rPr>
        <w:t xml:space="preserve">rugs and Poisons Information System </w:t>
      </w:r>
      <w:r w:rsidR="00CD4D7F" w:rsidRPr="00CD4D7F">
        <w:rPr>
          <w:rFonts w:ascii="Gill Sans MT" w:hAnsi="Gill Sans MT"/>
          <w:sz w:val="22"/>
          <w:u w:val="single"/>
        </w:rPr>
        <w:t>O</w:t>
      </w:r>
      <w:r w:rsidR="00CD4D7F" w:rsidRPr="00CD4D7F">
        <w:rPr>
          <w:rFonts w:ascii="Gill Sans MT" w:hAnsi="Gill Sans MT"/>
          <w:sz w:val="22"/>
        </w:rPr>
        <w:t xml:space="preserve">nline </w:t>
      </w:r>
      <w:r w:rsidR="00CD4D7F" w:rsidRPr="00CD4D7F">
        <w:rPr>
          <w:rFonts w:ascii="Gill Sans MT" w:hAnsi="Gill Sans MT"/>
          <w:sz w:val="22"/>
          <w:u w:val="single"/>
        </w:rPr>
        <w:t>R</w:t>
      </w:r>
      <w:r w:rsidR="00CD4D7F" w:rsidRPr="00CD4D7F">
        <w:rPr>
          <w:rFonts w:ascii="Gill Sans MT" w:hAnsi="Gill Sans MT"/>
          <w:sz w:val="22"/>
        </w:rPr>
        <w:t xml:space="preserve">emote </w:t>
      </w:r>
      <w:r w:rsidR="00CD4D7F" w:rsidRPr="00CD4D7F">
        <w:rPr>
          <w:rFonts w:ascii="Gill Sans MT" w:hAnsi="Gill Sans MT"/>
          <w:sz w:val="22"/>
          <w:u w:val="single"/>
        </w:rPr>
        <w:t>A</w:t>
      </w:r>
      <w:r w:rsidR="00CD4D7F" w:rsidRPr="00CD4D7F">
        <w:rPr>
          <w:rFonts w:ascii="Gill Sans MT" w:hAnsi="Gill Sans MT"/>
          <w:sz w:val="22"/>
        </w:rPr>
        <w:t xml:space="preserve">ccess) </w:t>
      </w:r>
      <w:r w:rsidR="00BF791C">
        <w:rPr>
          <w:rFonts w:ascii="Gill Sans MT" w:hAnsi="Gill Sans MT"/>
          <w:sz w:val="22"/>
        </w:rPr>
        <w:t>has been progressively rolled out since 2009</w:t>
      </w:r>
      <w:r w:rsidR="00CD4D7F">
        <w:rPr>
          <w:rFonts w:ascii="Gill Sans MT" w:hAnsi="Gill Sans MT"/>
          <w:sz w:val="22"/>
        </w:rPr>
        <w:t xml:space="preserve"> to </w:t>
      </w:r>
      <w:r w:rsidR="00CD4D7F" w:rsidRPr="00CD4D7F">
        <w:rPr>
          <w:rFonts w:ascii="Gill Sans MT" w:hAnsi="Gill Sans MT"/>
          <w:sz w:val="22"/>
        </w:rPr>
        <w:t xml:space="preserve">facilitate </w:t>
      </w:r>
      <w:r w:rsidR="00CD4D7F">
        <w:rPr>
          <w:rFonts w:ascii="Gill Sans MT" w:hAnsi="Gill Sans MT"/>
          <w:sz w:val="22"/>
        </w:rPr>
        <w:t>a</w:t>
      </w:r>
      <w:r w:rsidR="00CD4D7F" w:rsidRPr="00CD4D7F">
        <w:rPr>
          <w:rFonts w:ascii="Gill Sans MT" w:hAnsi="Gill Sans MT"/>
          <w:sz w:val="22"/>
        </w:rPr>
        <w:t xml:space="preserve"> secure 24 </w:t>
      </w:r>
      <w:proofErr w:type="spellStart"/>
      <w:r w:rsidR="00CD4D7F" w:rsidRPr="00CD4D7F">
        <w:rPr>
          <w:rFonts w:ascii="Gill Sans MT" w:hAnsi="Gill Sans MT"/>
          <w:sz w:val="22"/>
        </w:rPr>
        <w:t>hrs</w:t>
      </w:r>
      <w:proofErr w:type="spellEnd"/>
      <w:r w:rsidR="00CD4D7F" w:rsidRPr="00CD4D7F">
        <w:rPr>
          <w:rFonts w:ascii="Gill Sans MT" w:hAnsi="Gill Sans MT"/>
          <w:sz w:val="22"/>
        </w:rPr>
        <w:t xml:space="preserve">/day online remote access </w:t>
      </w:r>
      <w:r w:rsidR="00CD4D7F">
        <w:rPr>
          <w:rFonts w:ascii="Gill Sans MT" w:hAnsi="Gill Sans MT"/>
          <w:sz w:val="22"/>
        </w:rPr>
        <w:t>system for real time</w:t>
      </w:r>
      <w:r w:rsidR="00CD4D7F" w:rsidRPr="00CD4D7F">
        <w:rPr>
          <w:rFonts w:ascii="Gill Sans MT" w:hAnsi="Gill Sans MT"/>
          <w:sz w:val="22"/>
        </w:rPr>
        <w:t xml:space="preserve"> data </w:t>
      </w:r>
      <w:r w:rsidR="00CD4D7F">
        <w:rPr>
          <w:rFonts w:ascii="Gill Sans MT" w:hAnsi="Gill Sans MT"/>
          <w:sz w:val="22"/>
        </w:rPr>
        <w:t xml:space="preserve">information </w:t>
      </w:r>
      <w:r w:rsidR="00CD4D7F" w:rsidRPr="00CD4D7F">
        <w:rPr>
          <w:rFonts w:ascii="Gill Sans MT" w:hAnsi="Gill Sans MT"/>
          <w:sz w:val="22"/>
        </w:rPr>
        <w:t xml:space="preserve">relating to patients prescribed/seeking reportable medications.  </w:t>
      </w:r>
    </w:p>
    <w:p w14:paraId="077F5EA2" w14:textId="77777777" w:rsidR="00BF791C" w:rsidRDefault="00BF791C" w:rsidP="00FA0EC1">
      <w:pPr>
        <w:pStyle w:val="BulletedListLevel1"/>
        <w:numPr>
          <w:ilvl w:val="0"/>
          <w:numId w:val="49"/>
        </w:numPr>
        <w:tabs>
          <w:tab w:val="left" w:pos="720"/>
        </w:tabs>
        <w:spacing w:line="280" w:lineRule="atLeast"/>
        <w:ind w:left="425" w:hanging="425"/>
      </w:pPr>
      <w:r>
        <w:t xml:space="preserve">DORA has reported over 3 million dispensing events involving high risk narcotic medicines in Tasmania. </w:t>
      </w:r>
    </w:p>
    <w:p w14:paraId="5662D69A" w14:textId="77777777" w:rsidR="00794662" w:rsidRDefault="00BF791C" w:rsidP="00FA0EC1">
      <w:pPr>
        <w:pStyle w:val="BulletedListLevel1"/>
        <w:numPr>
          <w:ilvl w:val="0"/>
          <w:numId w:val="49"/>
        </w:numPr>
        <w:tabs>
          <w:tab w:val="left" w:pos="720"/>
        </w:tabs>
        <w:spacing w:line="280" w:lineRule="atLeast"/>
        <w:ind w:left="425" w:hanging="425"/>
      </w:pPr>
      <w:r>
        <w:t>It is estimated from 2007-2016 that 90 per cent of overdose deaths in Tasmania were attributable to prescription</w:t>
      </w:r>
      <w:r w:rsidRPr="00C50680">
        <w:rPr>
          <w:color w:val="000000"/>
        </w:rPr>
        <w:t xml:space="preserve"> medicines. The </w:t>
      </w:r>
      <w:r>
        <w:t>largest contributor to medication-related deaths in Tasmania is prescription opioid analgesics</w:t>
      </w:r>
      <w:r w:rsidR="00D5417E">
        <w:t>.</w:t>
      </w:r>
      <w:r>
        <w:t xml:space="preserve">  </w:t>
      </w:r>
      <w:bookmarkStart w:id="14" w:name="_Hlk16171444"/>
      <w:r>
        <w:t>Tasmania’s per capita death rate from prescription opioids was approximately 30</w:t>
      </w:r>
      <w:r w:rsidR="00307CDF">
        <w:t xml:space="preserve"> per cent</w:t>
      </w:r>
      <w:r>
        <w:t xml:space="preserve"> above the national average between 2002 and 2006 and changed to approximately 27</w:t>
      </w:r>
      <w:r w:rsidR="00307CDF">
        <w:t xml:space="preserve"> per cent</w:t>
      </w:r>
      <w:r>
        <w:t xml:space="preserve"> below the national average between 2012 and 2016 </w:t>
      </w:r>
      <w:bookmarkEnd w:id="14"/>
      <w:r>
        <w:t>(</w:t>
      </w:r>
      <w:proofErr w:type="spellStart"/>
      <w:r>
        <w:t>Penington</w:t>
      </w:r>
      <w:proofErr w:type="spellEnd"/>
      <w:r>
        <w:t>, 2019).</w:t>
      </w:r>
      <w:r w:rsidR="00556C05">
        <w:t xml:space="preserve"> </w:t>
      </w:r>
    </w:p>
    <w:p w14:paraId="3C5E335C" w14:textId="6DA1EC50" w:rsidR="00CD4D7F" w:rsidRDefault="00556C05" w:rsidP="00FA0EC1">
      <w:pPr>
        <w:pStyle w:val="BulletedListLevel1"/>
        <w:numPr>
          <w:ilvl w:val="0"/>
          <w:numId w:val="49"/>
        </w:numPr>
        <w:tabs>
          <w:tab w:val="left" w:pos="720"/>
        </w:tabs>
        <w:spacing w:line="280" w:lineRule="atLeast"/>
        <w:ind w:left="425" w:hanging="425"/>
      </w:pPr>
      <w:r>
        <w:t xml:space="preserve">However, </w:t>
      </w:r>
      <w:r w:rsidR="001D460C">
        <w:t xml:space="preserve">the </w:t>
      </w:r>
      <w:r>
        <w:t>Tasmania</w:t>
      </w:r>
      <w:r w:rsidR="001D460C">
        <w:t xml:space="preserve">n rate of opioid dispensing in 2016-17 at 76 353 per 100 000 population was the highest of all Australian states and territories and </w:t>
      </w:r>
      <w:r w:rsidR="00794662">
        <w:t>well above t</w:t>
      </w:r>
      <w:r w:rsidR="001D460C">
        <w:t>he Australian average of 58 595</w:t>
      </w:r>
      <w:r w:rsidR="00794662">
        <w:t xml:space="preserve"> per 100 000 population.  The age standardised rate of defined daily doses of opioid medicines in Tasmania was 25.48 per 1 000 population per day, also the highest of all states and territories and well above the National rate of 15.39 per 1 000 population per day </w:t>
      </w:r>
      <w:r w:rsidR="00063320">
        <w:t>(ACSQHC, 2019).</w:t>
      </w:r>
    </w:p>
    <w:p w14:paraId="04E52758" w14:textId="77777777" w:rsidR="005879E9" w:rsidRDefault="000E18CF" w:rsidP="00D77F20">
      <w:pPr>
        <w:pStyle w:val="BulletedListLevel1"/>
        <w:numPr>
          <w:ilvl w:val="0"/>
          <w:numId w:val="49"/>
        </w:numPr>
        <w:tabs>
          <w:tab w:val="left" w:pos="720"/>
        </w:tabs>
        <w:spacing w:line="280" w:lineRule="atLeast"/>
        <w:ind w:left="425" w:hanging="425"/>
      </w:pPr>
      <w:r>
        <w:t xml:space="preserve">From 1 February 2018, changes were made to accessing </w:t>
      </w:r>
      <w:proofErr w:type="gramStart"/>
      <w:r>
        <w:t>over-the-counter</w:t>
      </w:r>
      <w:proofErr w:type="gramEnd"/>
      <w:r>
        <w:t xml:space="preserve"> (OTC) medications containing codeine.  Common OTC analgesics containing codeine include products like </w:t>
      </w:r>
      <w:proofErr w:type="spellStart"/>
      <w:r>
        <w:t>Panadeine</w:t>
      </w:r>
      <w:proofErr w:type="spellEnd"/>
      <w:r>
        <w:t xml:space="preserve"> Extra (paracetamol and codeine) and Nurofen Plus (ibuprofen and codeine). </w:t>
      </w:r>
      <w:r w:rsidR="006B43A8">
        <w:t xml:space="preserve">These products where re-scheduled to Schedule 4 of the Poisons Acts in all states and territories, therefore </w:t>
      </w:r>
      <w:r>
        <w:t xml:space="preserve">requiring a doctor’s prescription.  </w:t>
      </w:r>
      <w:r w:rsidR="006B43A8">
        <w:t xml:space="preserve">A great deal of work was done behind the scenes </w:t>
      </w:r>
      <w:r w:rsidR="005879E9">
        <w:t>in Tasmania to manage the risks associated with those changes as it was estimated nationally that between 12-17 per cent of people purchasing OTC products containing codeine are likely to be dependent. A Codeine Rescheduling Implementation Group was convened by Pharmaceutical Services Branch. Training and information sessions were convened for GPs and Pharmacists, including information on pharmacological options as well as treatment or other interventions if necessary. The prescribing and dispensing of Schedule 4 analgesics containing codeine was added to DORA.</w:t>
      </w:r>
    </w:p>
    <w:p w14:paraId="6623030E" w14:textId="77777777" w:rsidR="00363089" w:rsidRPr="00A44F61" w:rsidRDefault="00363089" w:rsidP="00FA0EC1">
      <w:pPr>
        <w:widowControl w:val="0"/>
        <w:spacing w:line="280" w:lineRule="atLeast"/>
        <w:rPr>
          <w:b/>
        </w:rPr>
      </w:pPr>
      <w:r w:rsidRPr="00A44F61">
        <w:rPr>
          <w:b/>
        </w:rPr>
        <w:t xml:space="preserve">Support preventative and developmental health approaches to alcohol, tobacco and </w:t>
      </w:r>
      <w:proofErr w:type="gramStart"/>
      <w:r w:rsidRPr="00A44F61">
        <w:rPr>
          <w:b/>
        </w:rPr>
        <w:t>other</w:t>
      </w:r>
      <w:proofErr w:type="gramEnd"/>
      <w:r w:rsidRPr="00A44F61">
        <w:rPr>
          <w:b/>
        </w:rPr>
        <w:t xml:space="preserve"> drugs use</w:t>
      </w:r>
    </w:p>
    <w:p w14:paraId="683910BE" w14:textId="77777777" w:rsidR="00E1668C" w:rsidRPr="000C403B" w:rsidRDefault="00E1668C" w:rsidP="00FA0EC1">
      <w:pPr>
        <w:pStyle w:val="ListParagraph"/>
        <w:widowControl w:val="0"/>
        <w:numPr>
          <w:ilvl w:val="0"/>
          <w:numId w:val="44"/>
        </w:numPr>
        <w:spacing w:before="0" w:after="140" w:line="280" w:lineRule="atLeast"/>
        <w:ind w:left="425" w:hanging="425"/>
        <w:contextualSpacing w:val="0"/>
        <w:rPr>
          <w:rFonts w:ascii="Gill Sans MT" w:hAnsi="Gill Sans MT"/>
          <w:sz w:val="22"/>
        </w:rPr>
      </w:pPr>
      <w:r w:rsidRPr="000C403B">
        <w:rPr>
          <w:rFonts w:ascii="Gill Sans MT" w:hAnsi="Gill Sans MT"/>
          <w:i/>
          <w:sz w:val="22"/>
        </w:rPr>
        <w:t>Everybody’s Business</w:t>
      </w:r>
      <w:r w:rsidRPr="000C403B">
        <w:rPr>
          <w:rFonts w:ascii="Gill Sans MT" w:hAnsi="Gill Sans MT"/>
          <w:sz w:val="22"/>
        </w:rPr>
        <w:t xml:space="preserve"> was developed by the IAWGD in 2013 </w:t>
      </w:r>
      <w:r w:rsidR="009A6143">
        <w:rPr>
          <w:rFonts w:ascii="Gill Sans MT" w:hAnsi="Gill Sans MT"/>
          <w:sz w:val="22"/>
        </w:rPr>
        <w:t xml:space="preserve">as a sub-strategy of the TDS and </w:t>
      </w:r>
      <w:r w:rsidRPr="000C403B">
        <w:rPr>
          <w:rFonts w:ascii="Gill Sans MT" w:hAnsi="Gill Sans MT"/>
          <w:sz w:val="22"/>
        </w:rPr>
        <w:t xml:space="preserve">as the Strategic Framework for Implementing Promotion, Prevention and Early Intervention (PPEI) Approaches in averting Alcohol, Tobacco and other Drugs Use in Tasmania.  </w:t>
      </w:r>
      <w:r w:rsidRPr="000C403B">
        <w:rPr>
          <w:rFonts w:ascii="Gill Sans MT" w:hAnsi="Gill Sans MT"/>
          <w:i/>
          <w:sz w:val="22"/>
        </w:rPr>
        <w:t>Everybody’s Business</w:t>
      </w:r>
      <w:r w:rsidRPr="000C403B">
        <w:rPr>
          <w:rFonts w:ascii="Gill Sans MT" w:hAnsi="Gill Sans MT"/>
          <w:sz w:val="22"/>
        </w:rPr>
        <w:t xml:space="preserve"> strengthens the importance of health promotion, prevention of harms and early intervention in the Tasmanian context </w:t>
      </w:r>
      <w:r w:rsidRPr="000C403B">
        <w:rPr>
          <w:rFonts w:ascii="Gill Sans MT" w:hAnsi="Gill Sans MT"/>
          <w:sz w:val="22"/>
        </w:rPr>
        <w:lastRenderedPageBreak/>
        <w:t>and guides the formulation and development of PPEI activities and actions.</w:t>
      </w:r>
    </w:p>
    <w:p w14:paraId="70442F00" w14:textId="3DDEE57D" w:rsidR="00E1668C" w:rsidRDefault="00E1668C" w:rsidP="00FA0EC1">
      <w:pPr>
        <w:pStyle w:val="ListParagraph"/>
        <w:widowControl w:val="0"/>
        <w:numPr>
          <w:ilvl w:val="0"/>
          <w:numId w:val="39"/>
        </w:numPr>
        <w:spacing w:before="0" w:after="140" w:line="280" w:lineRule="atLeast"/>
        <w:ind w:left="425" w:hanging="425"/>
        <w:contextualSpacing w:val="0"/>
        <w:jc w:val="left"/>
        <w:rPr>
          <w:rFonts w:ascii="Gill Sans MT" w:hAnsi="Gill Sans MT"/>
          <w:sz w:val="22"/>
        </w:rPr>
      </w:pPr>
      <w:r w:rsidRPr="003B4A24">
        <w:rPr>
          <w:rFonts w:ascii="Gill Sans MT" w:hAnsi="Gill Sans MT"/>
          <w:sz w:val="22"/>
        </w:rPr>
        <w:t xml:space="preserve">An </w:t>
      </w:r>
      <w:r w:rsidRPr="003B4A24">
        <w:rPr>
          <w:rFonts w:ascii="Gill Sans MT" w:hAnsi="Gill Sans MT"/>
          <w:i/>
          <w:sz w:val="22"/>
        </w:rPr>
        <w:t>Everybody’s Business</w:t>
      </w:r>
      <w:r w:rsidRPr="003B4A24">
        <w:rPr>
          <w:rFonts w:ascii="Gill Sans MT" w:hAnsi="Gill Sans MT"/>
          <w:sz w:val="22"/>
        </w:rPr>
        <w:t xml:space="preserve"> website was developed </w:t>
      </w:r>
      <w:r>
        <w:rPr>
          <w:rFonts w:ascii="Gill Sans MT" w:hAnsi="Gill Sans MT"/>
          <w:sz w:val="22"/>
        </w:rPr>
        <w:t>by the Drug Education Network a</w:t>
      </w:r>
      <w:r w:rsidRPr="003B4A24">
        <w:rPr>
          <w:rFonts w:ascii="Gill Sans MT" w:hAnsi="Gill Sans MT"/>
          <w:sz w:val="22"/>
        </w:rPr>
        <w:t>nd launched on 16 November 2016</w:t>
      </w:r>
      <w:r w:rsidR="009A6143">
        <w:rPr>
          <w:rFonts w:ascii="Gill Sans MT" w:hAnsi="Gill Sans MT"/>
          <w:sz w:val="22"/>
        </w:rPr>
        <w:t xml:space="preserve"> </w:t>
      </w:r>
      <w:hyperlink r:id="rId26" w:history="1">
        <w:proofErr w:type="spellStart"/>
        <w:r w:rsidR="009A6143" w:rsidRPr="009A6143">
          <w:rPr>
            <w:rStyle w:val="Hyperlink"/>
            <w:rFonts w:ascii="Gill Sans MT" w:hAnsi="Gill Sans MT"/>
            <w:sz w:val="22"/>
          </w:rPr>
          <w:t>Everybodys.Business</w:t>
        </w:r>
        <w:proofErr w:type="spellEnd"/>
        <w:r w:rsidR="009A6143" w:rsidRPr="009A6143">
          <w:rPr>
            <w:rStyle w:val="Hyperlink"/>
            <w:rFonts w:ascii="Gill Sans MT" w:hAnsi="Gill Sans MT"/>
            <w:sz w:val="22"/>
          </w:rPr>
          <w:t xml:space="preserve"> - Drug Education Network</w:t>
        </w:r>
      </w:hyperlink>
      <w:r w:rsidRPr="003B4A24">
        <w:rPr>
          <w:rFonts w:ascii="Gill Sans MT" w:hAnsi="Gill Sans MT"/>
          <w:sz w:val="22"/>
        </w:rPr>
        <w:t>. The website provides a one-stop portal for alcohol and other drug information, links to resources, screening tools and support services and a community champions page.</w:t>
      </w:r>
    </w:p>
    <w:p w14:paraId="02CBF503" w14:textId="77777777" w:rsidR="000C403B" w:rsidRPr="00F94DFE" w:rsidRDefault="00363089" w:rsidP="009260C8">
      <w:pPr>
        <w:widowControl w:val="0"/>
        <w:spacing w:line="280" w:lineRule="atLeast"/>
        <w:rPr>
          <w:b/>
        </w:rPr>
      </w:pPr>
      <w:r w:rsidRPr="00A44F61">
        <w:rPr>
          <w:b/>
        </w:rPr>
        <w:t>Continue to support evidence-based initiatives and programs, including campaigns, that address the risks of alcohol, tobacco and other drugs use including risk use practices</w:t>
      </w:r>
    </w:p>
    <w:p w14:paraId="09186A45" w14:textId="77777777" w:rsidR="00D3542D" w:rsidRPr="00AF717B" w:rsidRDefault="00D3542D" w:rsidP="00D3542D">
      <w:pPr>
        <w:widowControl w:val="0"/>
        <w:spacing w:line="280" w:lineRule="atLeast"/>
        <w:rPr>
          <w:i/>
        </w:rPr>
      </w:pPr>
      <w:r w:rsidRPr="00AF717B">
        <w:rPr>
          <w:i/>
        </w:rPr>
        <w:t>Needle and Syringe Program</w:t>
      </w:r>
    </w:p>
    <w:p w14:paraId="08B189B3" w14:textId="77777777" w:rsidR="00D3542D" w:rsidRPr="00AF717B" w:rsidRDefault="00D3542D" w:rsidP="006F7697">
      <w:pPr>
        <w:pStyle w:val="ListParagraph"/>
        <w:numPr>
          <w:ilvl w:val="0"/>
          <w:numId w:val="70"/>
        </w:numPr>
        <w:autoSpaceDE w:val="0"/>
        <w:autoSpaceDN w:val="0"/>
        <w:adjustRightInd w:val="0"/>
        <w:spacing w:before="0" w:after="140" w:line="280" w:lineRule="atLeast"/>
        <w:ind w:left="426" w:hanging="426"/>
        <w:contextualSpacing w:val="0"/>
        <w:jc w:val="left"/>
        <w:rPr>
          <w:rFonts w:ascii="Gill Sans MT" w:hAnsi="Gill Sans MT"/>
          <w:sz w:val="22"/>
        </w:rPr>
      </w:pPr>
      <w:r w:rsidRPr="00AF717B">
        <w:rPr>
          <w:rFonts w:ascii="Gill Sans MT" w:hAnsi="Gill Sans MT"/>
          <w:sz w:val="22"/>
          <w:lang w:val="en" w:eastAsia="en-AU"/>
        </w:rPr>
        <w:t xml:space="preserve">The Tasmanian Needle and Syringe Program (NSP) is a public health initiative, consistent with the NDS and TDS harm </w:t>
      </w:r>
      <w:proofErr w:type="spellStart"/>
      <w:r w:rsidRPr="00AF717B">
        <w:rPr>
          <w:rFonts w:ascii="Gill Sans MT" w:hAnsi="Gill Sans MT"/>
          <w:sz w:val="22"/>
          <w:lang w:val="en" w:eastAsia="en-AU"/>
        </w:rPr>
        <w:t>minimisation</w:t>
      </w:r>
      <w:proofErr w:type="spellEnd"/>
      <w:r w:rsidRPr="00AF717B">
        <w:rPr>
          <w:rFonts w:ascii="Gill Sans MT" w:hAnsi="Gill Sans MT"/>
          <w:sz w:val="22"/>
          <w:lang w:val="en" w:eastAsia="en-AU"/>
        </w:rPr>
        <w:t xml:space="preserve"> framework, to </w:t>
      </w:r>
      <w:proofErr w:type="spellStart"/>
      <w:r w:rsidRPr="00AF717B">
        <w:rPr>
          <w:rFonts w:ascii="Gill Sans MT" w:hAnsi="Gill Sans MT"/>
          <w:sz w:val="22"/>
          <w:lang w:val="en" w:eastAsia="en-AU"/>
        </w:rPr>
        <w:t>minimise</w:t>
      </w:r>
      <w:proofErr w:type="spellEnd"/>
      <w:r w:rsidRPr="00AF717B">
        <w:rPr>
          <w:rFonts w:ascii="Gill Sans MT" w:hAnsi="Gill Sans MT"/>
          <w:sz w:val="22"/>
          <w:lang w:val="en" w:eastAsia="en-AU"/>
        </w:rPr>
        <w:t xml:space="preserve"> the spread of blood borne viruses such as HIV/AIDS and hepatitis B and C among injecting drug users and to the wider community.  </w:t>
      </w:r>
      <w:r w:rsidRPr="00AF717B">
        <w:rPr>
          <w:rFonts w:ascii="Gill Sans MT" w:hAnsi="Gill Sans MT" w:cs="Frutiger-Light"/>
          <w:sz w:val="22"/>
          <w:lang w:eastAsia="en-AU"/>
        </w:rPr>
        <w:t xml:space="preserve">They provide a range of services that include provision of sterile injecting equipment, education on reducing drug use, health information, and referral to drug treatment, medical care and legal and social services. The injecting equipment provided includes needles and syringes, swabs, vials of sterile water and 'sharps bins' for the safe disposal of used needles and syringes. </w:t>
      </w:r>
    </w:p>
    <w:p w14:paraId="1DFC4716" w14:textId="77777777" w:rsidR="00D3542D" w:rsidRPr="00AF717B" w:rsidRDefault="00D3542D" w:rsidP="006F7697">
      <w:pPr>
        <w:pStyle w:val="ListParagraph"/>
        <w:numPr>
          <w:ilvl w:val="0"/>
          <w:numId w:val="70"/>
        </w:numPr>
        <w:autoSpaceDE w:val="0"/>
        <w:autoSpaceDN w:val="0"/>
        <w:adjustRightInd w:val="0"/>
        <w:spacing w:before="0" w:after="140" w:line="280" w:lineRule="atLeast"/>
        <w:ind w:left="426" w:hanging="426"/>
        <w:contextualSpacing w:val="0"/>
        <w:jc w:val="left"/>
        <w:rPr>
          <w:rFonts w:ascii="Gill Sans MT" w:hAnsi="Gill Sans MT"/>
          <w:sz w:val="22"/>
        </w:rPr>
      </w:pPr>
      <w:r w:rsidRPr="00AF717B">
        <w:rPr>
          <w:rFonts w:ascii="Gill Sans MT" w:hAnsi="Gill Sans MT" w:cs="Frutiger-Light"/>
          <w:sz w:val="22"/>
          <w:lang w:eastAsia="en-AU"/>
        </w:rPr>
        <w:t>NSPs do not supply drugs or allow people to inject drugs on the premises. Governments provide sterile injecting equipment to prevent people sharing needles and syringes which can lead to the spread of HIV and hepatitis C.</w:t>
      </w:r>
    </w:p>
    <w:p w14:paraId="723FCD2A" w14:textId="77777777" w:rsidR="00D3542D" w:rsidRPr="00AF717B" w:rsidRDefault="00D3542D" w:rsidP="00D3542D">
      <w:pPr>
        <w:pStyle w:val="ListParagraph"/>
        <w:numPr>
          <w:ilvl w:val="0"/>
          <w:numId w:val="39"/>
        </w:numPr>
        <w:spacing w:before="0" w:after="140" w:line="280" w:lineRule="atLeast"/>
        <w:ind w:left="426" w:hanging="426"/>
        <w:contextualSpacing w:val="0"/>
        <w:rPr>
          <w:rFonts w:ascii="Gill Sans MT" w:hAnsi="Gill Sans MT"/>
          <w:sz w:val="22"/>
          <w:lang w:val="en" w:eastAsia="en-AU"/>
        </w:rPr>
      </w:pPr>
      <w:r w:rsidRPr="00AF717B">
        <w:rPr>
          <w:rFonts w:ascii="Gill Sans MT" w:hAnsi="Gill Sans MT"/>
          <w:sz w:val="22"/>
          <w:lang w:val="en" w:eastAsia="en-AU"/>
        </w:rPr>
        <w:t xml:space="preserve">The NSP operates through and in a range of different service providers across the state, including: </w:t>
      </w:r>
    </w:p>
    <w:p w14:paraId="14AEAA9D" w14:textId="77777777" w:rsidR="00D3542D" w:rsidRPr="00AF717B" w:rsidRDefault="00D3542D" w:rsidP="006F7697">
      <w:pPr>
        <w:numPr>
          <w:ilvl w:val="0"/>
          <w:numId w:val="69"/>
        </w:numPr>
        <w:tabs>
          <w:tab w:val="clear" w:pos="567"/>
          <w:tab w:val="clear" w:pos="720"/>
          <w:tab w:val="num" w:pos="851"/>
        </w:tabs>
        <w:spacing w:line="280" w:lineRule="atLeast"/>
        <w:ind w:left="851" w:right="300" w:hanging="425"/>
        <w:rPr>
          <w:lang w:val="en" w:eastAsia="en-AU"/>
        </w:rPr>
      </w:pPr>
      <w:r w:rsidRPr="00AF717B">
        <w:rPr>
          <w:lang w:val="en" w:eastAsia="en-AU"/>
        </w:rPr>
        <w:t>community health services</w:t>
      </w:r>
    </w:p>
    <w:p w14:paraId="0BD4014F" w14:textId="77777777" w:rsidR="00D3542D" w:rsidRPr="00AF717B" w:rsidRDefault="00D3542D" w:rsidP="006F7697">
      <w:pPr>
        <w:numPr>
          <w:ilvl w:val="0"/>
          <w:numId w:val="69"/>
        </w:numPr>
        <w:tabs>
          <w:tab w:val="clear" w:pos="567"/>
          <w:tab w:val="clear" w:pos="720"/>
          <w:tab w:val="num" w:pos="851"/>
        </w:tabs>
        <w:spacing w:line="280" w:lineRule="atLeast"/>
        <w:ind w:left="851" w:right="300" w:hanging="425"/>
        <w:rPr>
          <w:lang w:val="en" w:eastAsia="en-AU"/>
        </w:rPr>
      </w:pPr>
      <w:r w:rsidRPr="00AF717B">
        <w:rPr>
          <w:lang w:val="en" w:eastAsia="en-AU"/>
        </w:rPr>
        <w:t xml:space="preserve">community service </w:t>
      </w:r>
      <w:proofErr w:type="spellStart"/>
      <w:r w:rsidRPr="00AF717B">
        <w:rPr>
          <w:lang w:val="en" w:eastAsia="en-AU"/>
        </w:rPr>
        <w:t>organisations</w:t>
      </w:r>
      <w:proofErr w:type="spellEnd"/>
    </w:p>
    <w:p w14:paraId="5F42F6FC" w14:textId="77777777" w:rsidR="00D3542D" w:rsidRPr="00AF717B" w:rsidRDefault="00D3542D" w:rsidP="006F7697">
      <w:pPr>
        <w:numPr>
          <w:ilvl w:val="0"/>
          <w:numId w:val="69"/>
        </w:numPr>
        <w:tabs>
          <w:tab w:val="clear" w:pos="567"/>
          <w:tab w:val="clear" w:pos="720"/>
          <w:tab w:val="num" w:pos="851"/>
        </w:tabs>
        <w:spacing w:line="280" w:lineRule="atLeast"/>
        <w:ind w:left="851" w:right="300" w:hanging="425"/>
        <w:rPr>
          <w:lang w:val="en" w:eastAsia="en-AU"/>
        </w:rPr>
      </w:pPr>
      <w:r w:rsidRPr="00AF717B">
        <w:rPr>
          <w:lang w:val="en" w:eastAsia="en-AU"/>
        </w:rPr>
        <w:t>neighborhood and community houses</w:t>
      </w:r>
    </w:p>
    <w:p w14:paraId="2709FFBC" w14:textId="77777777" w:rsidR="00D3542D" w:rsidRPr="00AF717B" w:rsidRDefault="00D3542D" w:rsidP="006F7697">
      <w:pPr>
        <w:numPr>
          <w:ilvl w:val="0"/>
          <w:numId w:val="69"/>
        </w:numPr>
        <w:tabs>
          <w:tab w:val="clear" w:pos="567"/>
          <w:tab w:val="clear" w:pos="720"/>
          <w:tab w:val="num" w:pos="851"/>
        </w:tabs>
        <w:spacing w:line="280" w:lineRule="atLeast"/>
        <w:ind w:left="851" w:right="300" w:hanging="425"/>
        <w:rPr>
          <w:lang w:val="en" w:eastAsia="en-AU"/>
        </w:rPr>
      </w:pPr>
      <w:r w:rsidRPr="00AF717B">
        <w:rPr>
          <w:lang w:val="en" w:eastAsia="en-AU"/>
        </w:rPr>
        <w:t>Tasmanian aboriginal health services</w:t>
      </w:r>
    </w:p>
    <w:p w14:paraId="45A48F23" w14:textId="77777777" w:rsidR="00D3542D" w:rsidRPr="00AF717B" w:rsidRDefault="00D3542D" w:rsidP="006F7697">
      <w:pPr>
        <w:numPr>
          <w:ilvl w:val="0"/>
          <w:numId w:val="69"/>
        </w:numPr>
        <w:tabs>
          <w:tab w:val="clear" w:pos="567"/>
          <w:tab w:val="clear" w:pos="720"/>
          <w:tab w:val="num" w:pos="851"/>
        </w:tabs>
        <w:spacing w:line="280" w:lineRule="atLeast"/>
        <w:ind w:left="851" w:right="300" w:hanging="425"/>
        <w:rPr>
          <w:lang w:val="en" w:eastAsia="en-AU"/>
        </w:rPr>
      </w:pPr>
      <w:r w:rsidRPr="00AF717B">
        <w:rPr>
          <w:lang w:val="en" w:eastAsia="en-AU"/>
        </w:rPr>
        <w:t>regional hospitals</w:t>
      </w:r>
    </w:p>
    <w:p w14:paraId="55140243" w14:textId="77777777" w:rsidR="00D3542D" w:rsidRPr="00AF717B" w:rsidRDefault="00D3542D" w:rsidP="006F7697">
      <w:pPr>
        <w:numPr>
          <w:ilvl w:val="0"/>
          <w:numId w:val="69"/>
        </w:numPr>
        <w:tabs>
          <w:tab w:val="clear" w:pos="567"/>
          <w:tab w:val="clear" w:pos="720"/>
          <w:tab w:val="num" w:pos="851"/>
        </w:tabs>
        <w:spacing w:line="280" w:lineRule="atLeast"/>
        <w:ind w:left="851" w:right="300" w:hanging="425"/>
        <w:rPr>
          <w:lang w:val="en" w:eastAsia="en-AU"/>
        </w:rPr>
      </w:pPr>
      <w:r w:rsidRPr="00AF717B">
        <w:rPr>
          <w:lang w:val="en" w:eastAsia="en-AU"/>
        </w:rPr>
        <w:t>councils</w:t>
      </w:r>
    </w:p>
    <w:p w14:paraId="7BA7A84A" w14:textId="77777777" w:rsidR="00D3542D" w:rsidRPr="00AF717B" w:rsidRDefault="00D3542D" w:rsidP="006F7697">
      <w:pPr>
        <w:numPr>
          <w:ilvl w:val="0"/>
          <w:numId w:val="69"/>
        </w:numPr>
        <w:tabs>
          <w:tab w:val="clear" w:pos="567"/>
          <w:tab w:val="clear" w:pos="720"/>
          <w:tab w:val="num" w:pos="851"/>
        </w:tabs>
        <w:spacing w:line="280" w:lineRule="atLeast"/>
        <w:ind w:left="851" w:right="300" w:hanging="425"/>
        <w:rPr>
          <w:lang w:val="en" w:eastAsia="en-AU"/>
        </w:rPr>
      </w:pPr>
      <w:r w:rsidRPr="00AF717B">
        <w:rPr>
          <w:lang w:val="en" w:eastAsia="en-AU"/>
        </w:rPr>
        <w:t xml:space="preserve">youth </w:t>
      </w:r>
      <w:proofErr w:type="spellStart"/>
      <w:r w:rsidRPr="00AF717B">
        <w:rPr>
          <w:lang w:val="en" w:eastAsia="en-AU"/>
        </w:rPr>
        <w:t>organisations</w:t>
      </w:r>
      <w:proofErr w:type="spellEnd"/>
    </w:p>
    <w:p w14:paraId="69F02AEC" w14:textId="77777777" w:rsidR="00D3542D" w:rsidRPr="00AF717B" w:rsidRDefault="00D3542D" w:rsidP="006F7697">
      <w:pPr>
        <w:numPr>
          <w:ilvl w:val="0"/>
          <w:numId w:val="69"/>
        </w:numPr>
        <w:tabs>
          <w:tab w:val="clear" w:pos="567"/>
          <w:tab w:val="clear" w:pos="720"/>
          <w:tab w:val="num" w:pos="851"/>
        </w:tabs>
        <w:spacing w:line="280" w:lineRule="atLeast"/>
        <w:ind w:left="851" w:right="300" w:hanging="425"/>
        <w:rPr>
          <w:lang w:val="en" w:eastAsia="en-AU"/>
        </w:rPr>
      </w:pPr>
      <w:r w:rsidRPr="00AF717B">
        <w:rPr>
          <w:lang w:val="en" w:eastAsia="en-AU"/>
        </w:rPr>
        <w:t>pharmacies</w:t>
      </w:r>
    </w:p>
    <w:p w14:paraId="79326DBD" w14:textId="5E3C9069" w:rsidR="00D3542D" w:rsidRPr="00D3542D" w:rsidRDefault="00D3542D" w:rsidP="00D3542D">
      <w:pPr>
        <w:widowControl w:val="0"/>
        <w:tabs>
          <w:tab w:val="center" w:pos="4680"/>
          <w:tab w:val="right" w:pos="9360"/>
        </w:tabs>
        <w:autoSpaceDE w:val="0"/>
        <w:autoSpaceDN w:val="0"/>
        <w:adjustRightInd w:val="0"/>
        <w:spacing w:line="280" w:lineRule="atLeast"/>
        <w:rPr>
          <w:rFonts w:cstheme="minorHAnsi"/>
          <w:i/>
          <w:color w:val="000000"/>
          <w:lang w:eastAsia="en-AU"/>
        </w:rPr>
      </w:pPr>
      <w:r w:rsidRPr="00D3542D">
        <w:rPr>
          <w:rFonts w:cstheme="minorHAnsi"/>
          <w:i/>
          <w:color w:val="000000"/>
          <w:lang w:eastAsia="en-AU"/>
        </w:rPr>
        <w:t>Street Teams</w:t>
      </w:r>
    </w:p>
    <w:p w14:paraId="658317AE" w14:textId="3DAB8C4E" w:rsidR="00795BB4" w:rsidRDefault="00795BB4" w:rsidP="00FA0EC1">
      <w:pPr>
        <w:pStyle w:val="ListParagraph"/>
        <w:widowControl w:val="0"/>
        <w:numPr>
          <w:ilvl w:val="0"/>
          <w:numId w:val="45"/>
        </w:numPr>
        <w:tabs>
          <w:tab w:val="center" w:pos="4680"/>
          <w:tab w:val="right" w:pos="9360"/>
        </w:tabs>
        <w:autoSpaceDE w:val="0"/>
        <w:autoSpaceDN w:val="0"/>
        <w:adjustRightInd w:val="0"/>
        <w:spacing w:before="0" w:after="140" w:line="280" w:lineRule="atLeast"/>
        <w:ind w:left="426" w:hanging="426"/>
        <w:contextualSpacing w:val="0"/>
        <w:jc w:val="left"/>
        <w:rPr>
          <w:rFonts w:ascii="Gill Sans MT" w:hAnsi="Gill Sans MT" w:cstheme="minorHAnsi"/>
          <w:color w:val="000000"/>
          <w:sz w:val="22"/>
          <w:lang w:val="en-AU" w:eastAsia="en-AU"/>
        </w:rPr>
      </w:pPr>
      <w:r w:rsidRPr="00795BB4">
        <w:rPr>
          <w:rFonts w:ascii="Gill Sans MT" w:hAnsi="Gill Sans MT" w:cs="Gill Sans MT"/>
          <w:sz w:val="22"/>
        </w:rPr>
        <w:t>In 2015, t</w:t>
      </w:r>
      <w:r w:rsidR="00AD6186" w:rsidRPr="00795BB4">
        <w:rPr>
          <w:rFonts w:ascii="Gill Sans MT" w:eastAsia="MS Mincho" w:hAnsi="Gill Sans MT" w:cs="Gill Sans MT"/>
          <w:sz w:val="22"/>
        </w:rPr>
        <w:t>he Salvation Army Tasmania has introduced the ‘</w:t>
      </w:r>
      <w:r w:rsidR="00AD6186" w:rsidRPr="00795BB4">
        <w:rPr>
          <w:rFonts w:ascii="Gill Sans MT" w:eastAsia="MS Mincho" w:hAnsi="Gill Sans MT" w:cs="Gill Sans MT"/>
          <w:i/>
          <w:sz w:val="22"/>
        </w:rPr>
        <w:t>Street Teams’</w:t>
      </w:r>
      <w:r w:rsidR="00AD6186" w:rsidRPr="00795BB4">
        <w:rPr>
          <w:rFonts w:ascii="Gill Sans MT" w:eastAsia="MS Mincho" w:hAnsi="Gill Sans MT" w:cs="Gill Sans MT"/>
          <w:sz w:val="22"/>
        </w:rPr>
        <w:t xml:space="preserve"> initiative to the Hobart Salamanca area on Friday and Saturday nights from 10</w:t>
      </w:r>
      <w:r w:rsidR="00100B43" w:rsidRPr="00795BB4">
        <w:rPr>
          <w:rFonts w:ascii="Gill Sans MT" w:eastAsia="MS Mincho" w:hAnsi="Gill Sans MT" w:cs="Gill Sans MT"/>
          <w:sz w:val="22"/>
        </w:rPr>
        <w:t xml:space="preserve"> </w:t>
      </w:r>
      <w:r w:rsidR="00AD6186" w:rsidRPr="00795BB4">
        <w:rPr>
          <w:rFonts w:ascii="Gill Sans MT" w:eastAsia="MS Mincho" w:hAnsi="Gill Sans MT" w:cs="Gill Sans MT"/>
          <w:sz w:val="22"/>
        </w:rPr>
        <w:t>pm to 3</w:t>
      </w:r>
      <w:r w:rsidR="00100B43" w:rsidRPr="00795BB4">
        <w:rPr>
          <w:rFonts w:ascii="Gill Sans MT" w:eastAsia="MS Mincho" w:hAnsi="Gill Sans MT" w:cs="Gill Sans MT"/>
          <w:sz w:val="22"/>
        </w:rPr>
        <w:t xml:space="preserve"> </w:t>
      </w:r>
      <w:r w:rsidR="00AD6186" w:rsidRPr="00795BB4">
        <w:rPr>
          <w:rFonts w:ascii="Gill Sans MT" w:eastAsia="MS Mincho" w:hAnsi="Gill Sans MT" w:cs="Gill Sans MT"/>
          <w:sz w:val="22"/>
        </w:rPr>
        <w:t>am</w:t>
      </w:r>
      <w:r w:rsidR="007246FB" w:rsidRPr="00795BB4">
        <w:rPr>
          <w:rFonts w:ascii="Gill Sans MT" w:eastAsia="MS Mincho" w:hAnsi="Gill Sans MT" w:cs="Gill Sans MT"/>
          <w:sz w:val="22"/>
        </w:rPr>
        <w:t xml:space="preserve"> in 2015</w:t>
      </w:r>
      <w:r w:rsidR="00AD6186" w:rsidRPr="00795BB4">
        <w:rPr>
          <w:rFonts w:ascii="Gill Sans MT" w:eastAsia="MS Mincho" w:hAnsi="Gill Sans MT" w:cs="Gill Sans MT"/>
          <w:sz w:val="22"/>
        </w:rPr>
        <w:t xml:space="preserve">. </w:t>
      </w:r>
      <w:r w:rsidR="007246FB" w:rsidRPr="00795BB4">
        <w:rPr>
          <w:rFonts w:ascii="Gill Sans MT" w:eastAsia="MS Mincho" w:hAnsi="Gill Sans MT" w:cs="Gill Sans MT"/>
          <w:sz w:val="22"/>
        </w:rPr>
        <w:t>It was expanded to the Launceston CBD in 2017</w:t>
      </w:r>
      <w:r w:rsidRPr="00795BB4">
        <w:rPr>
          <w:rFonts w:ascii="Gill Sans MT" w:eastAsia="MS Mincho" w:hAnsi="Gill Sans MT" w:cs="Gill Sans MT"/>
          <w:sz w:val="22"/>
        </w:rPr>
        <w:t xml:space="preserve"> during major events</w:t>
      </w:r>
      <w:r w:rsidR="007246FB" w:rsidRPr="00795BB4">
        <w:rPr>
          <w:rFonts w:ascii="Gill Sans MT" w:eastAsia="MS Mincho" w:hAnsi="Gill Sans MT" w:cs="Gill Sans MT"/>
          <w:sz w:val="22"/>
        </w:rPr>
        <w:t xml:space="preserve">. </w:t>
      </w:r>
      <w:r w:rsidR="00AD6186" w:rsidRPr="00795BB4">
        <w:rPr>
          <w:rFonts w:ascii="Gill Sans MT" w:hAnsi="Gill Sans MT"/>
          <w:sz w:val="22"/>
        </w:rPr>
        <w:t xml:space="preserve">The teams provide practical assistance to people on the waterfront late at </w:t>
      </w:r>
      <w:r w:rsidR="00100B43" w:rsidRPr="00795BB4">
        <w:rPr>
          <w:rFonts w:ascii="Gill Sans MT" w:hAnsi="Gill Sans MT"/>
          <w:sz w:val="22"/>
        </w:rPr>
        <w:t>night and</w:t>
      </w:r>
      <w:r w:rsidR="00AD6186" w:rsidRPr="00795BB4">
        <w:rPr>
          <w:rFonts w:ascii="Gill Sans MT" w:hAnsi="Gill Sans MT"/>
          <w:sz w:val="22"/>
        </w:rPr>
        <w:t xml:space="preserve"> watch out for people’s personal safety by providing a ‘chill out safe space’, assistance to reach a secure taxi rank or a safe ride home.  This is a collaborative effort between The Salvation Army, Tasmania Police and the Cit</w:t>
      </w:r>
      <w:r w:rsidR="007246FB" w:rsidRPr="00795BB4">
        <w:rPr>
          <w:rFonts w:ascii="Gill Sans MT" w:hAnsi="Gill Sans MT"/>
          <w:sz w:val="22"/>
        </w:rPr>
        <w:t>ies</w:t>
      </w:r>
      <w:r w:rsidR="00AD6186" w:rsidRPr="00795BB4">
        <w:rPr>
          <w:rFonts w:ascii="Gill Sans MT" w:hAnsi="Gill Sans MT"/>
          <w:sz w:val="22"/>
        </w:rPr>
        <w:t xml:space="preserve"> of Hobart</w:t>
      </w:r>
      <w:r w:rsidR="007246FB" w:rsidRPr="00795BB4">
        <w:rPr>
          <w:rFonts w:ascii="Gill Sans MT" w:hAnsi="Gill Sans MT"/>
          <w:sz w:val="22"/>
        </w:rPr>
        <w:t xml:space="preserve"> and Launceston</w:t>
      </w:r>
      <w:r w:rsidR="00AD6186" w:rsidRPr="00795BB4">
        <w:rPr>
          <w:rFonts w:ascii="Gill Sans MT" w:hAnsi="Gill Sans MT"/>
          <w:sz w:val="22"/>
        </w:rPr>
        <w:t>.</w:t>
      </w:r>
      <w:r w:rsidR="007246FB" w:rsidRPr="00795BB4">
        <w:rPr>
          <w:rFonts w:ascii="Gill Sans MT" w:hAnsi="Gill Sans MT"/>
          <w:sz w:val="22"/>
        </w:rPr>
        <w:t xml:space="preserve">  </w:t>
      </w:r>
      <w:r w:rsidR="00D5417E" w:rsidRPr="00795BB4">
        <w:rPr>
          <w:rFonts w:ascii="Gill Sans MT" w:hAnsi="Gill Sans MT" w:cstheme="minorHAnsi"/>
          <w:sz w:val="22"/>
        </w:rPr>
        <w:t>T</w:t>
      </w:r>
      <w:r w:rsidR="00D5417E" w:rsidRPr="00795BB4">
        <w:rPr>
          <w:rFonts w:ascii="Gill Sans MT" w:hAnsi="Gill Sans MT" w:cstheme="minorHAnsi"/>
          <w:color w:val="000000"/>
          <w:sz w:val="22"/>
          <w:lang w:val="en-AU" w:eastAsia="en-AU"/>
        </w:rPr>
        <w:t>he 2015-16 trial of the Street Teams approach saw reductions in the number of public place assaults of 52.9</w:t>
      </w:r>
      <w:r w:rsidR="00307CDF" w:rsidRPr="00795BB4">
        <w:rPr>
          <w:rFonts w:ascii="Gill Sans MT" w:hAnsi="Gill Sans MT" w:cstheme="minorHAnsi"/>
          <w:color w:val="000000"/>
          <w:sz w:val="22"/>
          <w:lang w:val="en-AU" w:eastAsia="en-AU"/>
        </w:rPr>
        <w:t xml:space="preserve"> per cent</w:t>
      </w:r>
      <w:r w:rsidR="00D5417E" w:rsidRPr="00795BB4">
        <w:rPr>
          <w:rFonts w:ascii="Gill Sans MT" w:hAnsi="Gill Sans MT" w:cstheme="minorHAnsi"/>
          <w:color w:val="000000"/>
          <w:sz w:val="22"/>
          <w:lang w:val="en-AU" w:eastAsia="en-AU"/>
        </w:rPr>
        <w:t xml:space="preserve"> in the Hobart waterfront district, compared to 24.5</w:t>
      </w:r>
      <w:r w:rsidR="00307CDF" w:rsidRPr="00795BB4">
        <w:rPr>
          <w:rFonts w:ascii="Gill Sans MT" w:hAnsi="Gill Sans MT" w:cstheme="minorHAnsi"/>
          <w:color w:val="000000"/>
          <w:sz w:val="22"/>
          <w:lang w:val="en-AU" w:eastAsia="en-AU"/>
        </w:rPr>
        <w:t xml:space="preserve"> per cent</w:t>
      </w:r>
      <w:r w:rsidR="00D5417E" w:rsidRPr="00795BB4">
        <w:rPr>
          <w:rFonts w:ascii="Gill Sans MT" w:hAnsi="Gill Sans MT" w:cstheme="minorHAnsi"/>
          <w:color w:val="000000"/>
          <w:sz w:val="22"/>
          <w:lang w:val="en-AU" w:eastAsia="en-AU"/>
        </w:rPr>
        <w:t xml:space="preserve"> in the general Hobart area.</w:t>
      </w:r>
      <w:r w:rsidRPr="00795BB4">
        <w:rPr>
          <w:rFonts w:ascii="Gill Sans MT" w:hAnsi="Gill Sans MT" w:cstheme="minorHAnsi"/>
          <w:color w:val="000000"/>
          <w:sz w:val="22"/>
          <w:lang w:val="en-AU" w:eastAsia="en-AU"/>
        </w:rPr>
        <w:t xml:space="preserve"> </w:t>
      </w:r>
    </w:p>
    <w:p w14:paraId="713052C4" w14:textId="77777777" w:rsidR="007246FB" w:rsidRPr="00795BB4" w:rsidRDefault="00A95867" w:rsidP="00FA0EC1">
      <w:pPr>
        <w:pStyle w:val="ListParagraph"/>
        <w:widowControl w:val="0"/>
        <w:numPr>
          <w:ilvl w:val="0"/>
          <w:numId w:val="45"/>
        </w:numPr>
        <w:tabs>
          <w:tab w:val="center" w:pos="4680"/>
          <w:tab w:val="right" w:pos="9360"/>
        </w:tabs>
        <w:autoSpaceDE w:val="0"/>
        <w:autoSpaceDN w:val="0"/>
        <w:adjustRightInd w:val="0"/>
        <w:spacing w:before="0" w:after="140" w:line="280" w:lineRule="atLeast"/>
        <w:ind w:left="426" w:hanging="426"/>
        <w:contextualSpacing w:val="0"/>
        <w:jc w:val="left"/>
        <w:rPr>
          <w:rFonts w:ascii="Gill Sans MT" w:hAnsi="Gill Sans MT" w:cstheme="minorHAnsi"/>
          <w:color w:val="000000"/>
          <w:sz w:val="22"/>
          <w:lang w:val="en-AU" w:eastAsia="en-AU"/>
        </w:rPr>
      </w:pPr>
      <w:r w:rsidRPr="00795BB4">
        <w:rPr>
          <w:rFonts w:ascii="Gill Sans MT" w:hAnsi="Gill Sans MT" w:cstheme="minorHAnsi"/>
          <w:sz w:val="22"/>
        </w:rPr>
        <w:t xml:space="preserve">Additional funding </w:t>
      </w:r>
      <w:r w:rsidR="00D5417E" w:rsidRPr="00795BB4">
        <w:rPr>
          <w:rFonts w:ascii="Gill Sans MT" w:hAnsi="Gill Sans MT" w:cstheme="minorHAnsi"/>
          <w:sz w:val="22"/>
        </w:rPr>
        <w:t>was</w:t>
      </w:r>
      <w:r w:rsidR="0028255F" w:rsidRPr="00795BB4">
        <w:rPr>
          <w:rFonts w:ascii="Gill Sans MT" w:hAnsi="Gill Sans MT" w:cstheme="minorHAnsi"/>
          <w:sz w:val="22"/>
        </w:rPr>
        <w:t xml:space="preserve"> </w:t>
      </w:r>
      <w:r w:rsidRPr="00795BB4">
        <w:rPr>
          <w:rFonts w:ascii="Gill Sans MT" w:hAnsi="Gill Sans MT" w:cstheme="minorHAnsi"/>
          <w:sz w:val="22"/>
        </w:rPr>
        <w:t xml:space="preserve">provided to the Salvation Army Tasmania </w:t>
      </w:r>
      <w:r w:rsidR="0028255F" w:rsidRPr="00795BB4">
        <w:rPr>
          <w:rFonts w:ascii="Gill Sans MT" w:hAnsi="Gill Sans MT" w:cstheme="minorHAnsi"/>
          <w:sz w:val="22"/>
        </w:rPr>
        <w:t>in 2019 f</w:t>
      </w:r>
      <w:r w:rsidRPr="00795BB4">
        <w:rPr>
          <w:rFonts w:ascii="Gill Sans MT" w:hAnsi="Gill Sans MT" w:cstheme="minorHAnsi"/>
          <w:sz w:val="22"/>
        </w:rPr>
        <w:t>or an expanded Street Teams program in the Hobart and Launceston CBDs on Friday and Saturday nights</w:t>
      </w:r>
      <w:r w:rsidR="0028255F" w:rsidRPr="00795BB4">
        <w:rPr>
          <w:rFonts w:ascii="Gill Sans MT" w:hAnsi="Gill Sans MT" w:cstheme="minorHAnsi"/>
          <w:sz w:val="22"/>
        </w:rPr>
        <w:t xml:space="preserve">. </w:t>
      </w:r>
    </w:p>
    <w:p w14:paraId="65E410E7" w14:textId="77777777" w:rsidR="00363089" w:rsidRPr="00A44F61" w:rsidRDefault="00363089" w:rsidP="00FA0EC1">
      <w:pPr>
        <w:widowControl w:val="0"/>
        <w:spacing w:line="280" w:lineRule="atLeast"/>
        <w:rPr>
          <w:b/>
        </w:rPr>
      </w:pPr>
      <w:r w:rsidRPr="00A44F61">
        <w:rPr>
          <w:b/>
        </w:rPr>
        <w:t xml:space="preserve">Continue to support, promote and monitor the timely and ongoing development and review of effective legislation and regulation in response to use of alcohol, tobacco and </w:t>
      </w:r>
      <w:proofErr w:type="gramStart"/>
      <w:r w:rsidRPr="00A44F61">
        <w:rPr>
          <w:b/>
        </w:rPr>
        <w:t>other</w:t>
      </w:r>
      <w:proofErr w:type="gramEnd"/>
      <w:r w:rsidRPr="00A44F61">
        <w:rPr>
          <w:b/>
        </w:rPr>
        <w:t xml:space="preserve"> drugs use</w:t>
      </w:r>
    </w:p>
    <w:p w14:paraId="6F560E40" w14:textId="4E4385DE" w:rsidR="00CA1484" w:rsidRPr="00CA1484" w:rsidRDefault="00A77588" w:rsidP="00FE2E1C">
      <w:pPr>
        <w:pStyle w:val="NormalWeb"/>
        <w:widowControl w:val="0"/>
        <w:numPr>
          <w:ilvl w:val="0"/>
          <w:numId w:val="41"/>
        </w:numPr>
        <w:shd w:val="clear" w:color="auto" w:fill="FFFFFF"/>
        <w:tabs>
          <w:tab w:val="clear" w:pos="567"/>
        </w:tabs>
        <w:spacing w:line="280" w:lineRule="atLeast"/>
        <w:ind w:left="426" w:hanging="425"/>
        <w:rPr>
          <w:rFonts w:ascii="Gill Sans MT" w:hAnsi="Gill Sans MT"/>
          <w:color w:val="000000"/>
          <w:sz w:val="22"/>
        </w:rPr>
      </w:pPr>
      <w:r w:rsidRPr="00CA1484">
        <w:rPr>
          <w:rFonts w:ascii="Gill Sans MT" w:hAnsi="Gill Sans MT"/>
          <w:sz w:val="22"/>
        </w:rPr>
        <w:t>The Tasmanian Government 2015-2016 budget allocated $1.3</w:t>
      </w:r>
      <w:r w:rsidR="00307CDF" w:rsidRPr="00CA1484">
        <w:rPr>
          <w:rFonts w:ascii="Gill Sans MT" w:hAnsi="Gill Sans MT"/>
          <w:sz w:val="22"/>
        </w:rPr>
        <w:t xml:space="preserve"> million</w:t>
      </w:r>
      <w:r w:rsidRPr="00CA1484">
        <w:rPr>
          <w:rFonts w:ascii="Gill Sans MT" w:hAnsi="Gill Sans MT"/>
          <w:sz w:val="22"/>
        </w:rPr>
        <w:t xml:space="preserve"> to the Director of Public </w:t>
      </w:r>
      <w:r w:rsidRPr="00CA1484">
        <w:rPr>
          <w:rFonts w:ascii="Gill Sans MT" w:hAnsi="Gill Sans MT"/>
          <w:sz w:val="22"/>
        </w:rPr>
        <w:lastRenderedPageBreak/>
        <w:t xml:space="preserve">Prosecutions to resource prosecutions of unexplained wealth investigations, in accordance with the </w:t>
      </w:r>
      <w:r w:rsidRPr="00CA1484">
        <w:rPr>
          <w:rFonts w:ascii="Gill Sans MT" w:hAnsi="Gill Sans MT"/>
          <w:i/>
          <w:iCs/>
          <w:sz w:val="22"/>
        </w:rPr>
        <w:t>Crime (Confiscation of Profits) Act 1993</w:t>
      </w:r>
      <w:r w:rsidRPr="00CA1484">
        <w:rPr>
          <w:rFonts w:ascii="Gill Sans MT" w:hAnsi="Gill Sans MT"/>
          <w:sz w:val="22"/>
        </w:rPr>
        <w:t>.</w:t>
      </w:r>
      <w:r w:rsidR="00795BB4" w:rsidRPr="00CA1484">
        <w:rPr>
          <w:rFonts w:ascii="Gill Sans MT" w:hAnsi="Gill Sans MT"/>
          <w:sz w:val="22"/>
        </w:rPr>
        <w:t xml:space="preserve"> </w:t>
      </w:r>
      <w:r w:rsidR="00CA1484" w:rsidRPr="00CA1484">
        <w:rPr>
          <w:rFonts w:ascii="Gill Sans MT" w:hAnsi="Gill Sans MT"/>
          <w:sz w:val="22"/>
        </w:rPr>
        <w:t xml:space="preserve">An independent review of Part 9 of the </w:t>
      </w:r>
      <w:r w:rsidR="00CA1484" w:rsidRPr="00CA1484">
        <w:rPr>
          <w:rFonts w:ascii="Gill Sans MT" w:hAnsi="Gill Sans MT"/>
          <w:i/>
          <w:sz w:val="22"/>
        </w:rPr>
        <w:t>Crime (Confiscation of Profits) Act 1993</w:t>
      </w:r>
      <w:r w:rsidR="00CA1484" w:rsidRPr="00CA1484">
        <w:rPr>
          <w:rFonts w:ascii="Gill Sans MT" w:hAnsi="Gill Sans MT"/>
          <w:sz w:val="22"/>
        </w:rPr>
        <w:t xml:space="preserve"> was commenced in 2014. </w:t>
      </w:r>
      <w:r w:rsidR="00CA1484" w:rsidRPr="00CA1484">
        <w:rPr>
          <w:rFonts w:ascii="Gill Sans MT" w:hAnsi="Gill Sans MT"/>
          <w:color w:val="000000"/>
          <w:sz w:val="22"/>
        </w:rPr>
        <w:t>The intention of Part 9 of the Act is:</w:t>
      </w:r>
    </w:p>
    <w:p w14:paraId="536DA0CA" w14:textId="77777777" w:rsidR="00CA1484" w:rsidRPr="00C2338D" w:rsidRDefault="00CA1484" w:rsidP="00CA1484">
      <w:pPr>
        <w:pStyle w:val="ListParagraph"/>
        <w:widowControl w:val="0"/>
        <w:numPr>
          <w:ilvl w:val="0"/>
          <w:numId w:val="43"/>
        </w:numPr>
        <w:shd w:val="clear" w:color="auto" w:fill="FFFFFF"/>
        <w:spacing w:before="0" w:after="140" w:line="280" w:lineRule="atLeast"/>
        <w:ind w:left="851" w:hanging="284"/>
        <w:contextualSpacing w:val="0"/>
        <w:jc w:val="left"/>
        <w:rPr>
          <w:rFonts w:ascii="Gill Sans MT" w:hAnsi="Gill Sans MT"/>
          <w:color w:val="000000"/>
          <w:sz w:val="22"/>
        </w:rPr>
      </w:pPr>
      <w:r w:rsidRPr="00C2338D">
        <w:rPr>
          <w:rFonts w:ascii="Gill Sans MT" w:hAnsi="Gill Sans MT"/>
          <w:color w:val="000000"/>
          <w:sz w:val="22"/>
        </w:rPr>
        <w:t xml:space="preserve">to deter </w:t>
      </w:r>
      <w:proofErr w:type="spellStart"/>
      <w:r w:rsidRPr="00C2338D">
        <w:rPr>
          <w:rFonts w:ascii="Gill Sans MT" w:hAnsi="Gill Sans MT"/>
          <w:color w:val="000000"/>
          <w:sz w:val="22"/>
        </w:rPr>
        <w:t>organised</w:t>
      </w:r>
      <w:proofErr w:type="spellEnd"/>
      <w:r w:rsidRPr="00C2338D">
        <w:rPr>
          <w:rFonts w:ascii="Gill Sans MT" w:hAnsi="Gill Sans MT"/>
          <w:color w:val="000000"/>
          <w:sz w:val="22"/>
        </w:rPr>
        <w:t xml:space="preserve"> crime by targeting the ‘profit’ and removing the funds which would otherwise be available for use in further criminal activities;</w:t>
      </w:r>
    </w:p>
    <w:p w14:paraId="2FBE42D2" w14:textId="77777777" w:rsidR="00CA1484" w:rsidRPr="00C2338D" w:rsidRDefault="00CA1484" w:rsidP="00CA1484">
      <w:pPr>
        <w:pStyle w:val="ListParagraph"/>
        <w:widowControl w:val="0"/>
        <w:numPr>
          <w:ilvl w:val="0"/>
          <w:numId w:val="43"/>
        </w:numPr>
        <w:shd w:val="clear" w:color="auto" w:fill="FFFFFF"/>
        <w:spacing w:before="0" w:after="140" w:line="280" w:lineRule="atLeast"/>
        <w:ind w:left="851" w:hanging="284"/>
        <w:contextualSpacing w:val="0"/>
        <w:jc w:val="left"/>
        <w:rPr>
          <w:rFonts w:ascii="Gill Sans MT" w:hAnsi="Gill Sans MT"/>
          <w:color w:val="000000"/>
          <w:sz w:val="22"/>
        </w:rPr>
      </w:pPr>
      <w:r w:rsidRPr="00C2338D">
        <w:rPr>
          <w:rFonts w:ascii="Gill Sans MT" w:hAnsi="Gill Sans MT"/>
          <w:color w:val="000000"/>
          <w:sz w:val="22"/>
        </w:rPr>
        <w:t xml:space="preserve">to target people who </w:t>
      </w:r>
      <w:proofErr w:type="spellStart"/>
      <w:r w:rsidRPr="00C2338D">
        <w:rPr>
          <w:rFonts w:ascii="Gill Sans MT" w:hAnsi="Gill Sans MT"/>
          <w:color w:val="000000"/>
          <w:sz w:val="22"/>
        </w:rPr>
        <w:t>organise</w:t>
      </w:r>
      <w:proofErr w:type="spellEnd"/>
      <w:r w:rsidRPr="00C2338D">
        <w:rPr>
          <w:rFonts w:ascii="Gill Sans MT" w:hAnsi="Gill Sans MT"/>
          <w:color w:val="000000"/>
          <w:sz w:val="22"/>
        </w:rPr>
        <w:t xml:space="preserve"> and derive profit from crime and whose wealth exceeds the value of their lawful earnings but who may be difficult to prosecute and convict of specific crime or offences;</w:t>
      </w:r>
    </w:p>
    <w:p w14:paraId="3116392C" w14:textId="77777777" w:rsidR="00CA1484" w:rsidRPr="00C2338D" w:rsidRDefault="00CA1484" w:rsidP="00CA1484">
      <w:pPr>
        <w:pStyle w:val="ListParagraph"/>
        <w:widowControl w:val="0"/>
        <w:numPr>
          <w:ilvl w:val="0"/>
          <w:numId w:val="42"/>
        </w:numPr>
        <w:shd w:val="clear" w:color="auto" w:fill="FFFFFF"/>
        <w:spacing w:before="0" w:after="140" w:line="280" w:lineRule="atLeast"/>
        <w:ind w:left="851" w:hanging="284"/>
        <w:contextualSpacing w:val="0"/>
        <w:jc w:val="left"/>
        <w:rPr>
          <w:rFonts w:ascii="Gill Sans MT" w:hAnsi="Gill Sans MT"/>
          <w:color w:val="000000"/>
          <w:sz w:val="22"/>
        </w:rPr>
      </w:pPr>
      <w:r w:rsidRPr="00C2338D">
        <w:rPr>
          <w:rFonts w:ascii="Gill Sans MT" w:hAnsi="Gill Sans MT"/>
          <w:color w:val="000000"/>
          <w:sz w:val="22"/>
        </w:rPr>
        <w:t>to provide for unexplained wealth declarations to be made without having to prove that the respondent has engaged in specific criminal activity or prove a link between the commission of a specific offence and the person’s wealth;</w:t>
      </w:r>
    </w:p>
    <w:p w14:paraId="3C9C2061" w14:textId="77777777" w:rsidR="00CA1484" w:rsidRDefault="00CA1484" w:rsidP="00CA1484">
      <w:pPr>
        <w:pStyle w:val="ListParagraph"/>
        <w:widowControl w:val="0"/>
        <w:numPr>
          <w:ilvl w:val="0"/>
          <w:numId w:val="42"/>
        </w:numPr>
        <w:shd w:val="clear" w:color="auto" w:fill="FFFFFF"/>
        <w:spacing w:before="0" w:after="140" w:line="280" w:lineRule="atLeast"/>
        <w:ind w:left="851" w:hanging="284"/>
        <w:contextualSpacing w:val="0"/>
        <w:jc w:val="left"/>
        <w:rPr>
          <w:rFonts w:ascii="Gill Sans MT" w:hAnsi="Gill Sans MT"/>
          <w:color w:val="000000"/>
          <w:sz w:val="22"/>
        </w:rPr>
      </w:pPr>
      <w:r w:rsidRPr="00C2338D">
        <w:rPr>
          <w:rFonts w:ascii="Gill Sans MT" w:hAnsi="Gill Sans MT"/>
          <w:color w:val="000000"/>
          <w:sz w:val="22"/>
        </w:rPr>
        <w:t>to introduce non-conviction based civil forfeiture laws involving a presumption that respondents have not lawfully acquired their wealth unless they prove otherwise.</w:t>
      </w:r>
    </w:p>
    <w:p w14:paraId="03B3B11A" w14:textId="7FF66253" w:rsidR="00CA1484" w:rsidRPr="00CA1484" w:rsidRDefault="00CA1484" w:rsidP="00CA1484">
      <w:pPr>
        <w:pStyle w:val="ListParagraph"/>
        <w:widowControl w:val="0"/>
        <w:numPr>
          <w:ilvl w:val="0"/>
          <w:numId w:val="39"/>
        </w:numPr>
        <w:shd w:val="clear" w:color="auto" w:fill="FFFFFF"/>
        <w:spacing w:before="0" w:after="140" w:line="280" w:lineRule="atLeast"/>
        <w:ind w:left="426" w:hanging="425"/>
        <w:contextualSpacing w:val="0"/>
        <w:rPr>
          <w:rFonts w:ascii="Gill Sans MT" w:hAnsi="Gill Sans MT"/>
          <w:color w:val="000000"/>
          <w:sz w:val="22"/>
        </w:rPr>
      </w:pPr>
      <w:r w:rsidRPr="00AF34A0">
        <w:rPr>
          <w:rFonts w:ascii="Gill Sans MT" w:hAnsi="Gill Sans MT"/>
          <w:color w:val="000000"/>
          <w:sz w:val="22"/>
        </w:rPr>
        <w:t xml:space="preserve">The </w:t>
      </w:r>
      <w:r w:rsidRPr="00AF34A0">
        <w:rPr>
          <w:rFonts w:ascii="Gill Sans MT" w:hAnsi="Gill Sans MT"/>
          <w:i/>
          <w:color w:val="000000"/>
          <w:sz w:val="22"/>
        </w:rPr>
        <w:t>Crime (Confiscation of Profits) Amendment Act 2018</w:t>
      </w:r>
      <w:r w:rsidRPr="00AF34A0">
        <w:rPr>
          <w:rFonts w:ascii="Gill Sans MT" w:hAnsi="Gill Sans MT"/>
          <w:color w:val="000000"/>
          <w:sz w:val="22"/>
        </w:rPr>
        <w:t xml:space="preserve"> was passed on 10 December 2018. </w:t>
      </w:r>
      <w:r>
        <w:rPr>
          <w:rFonts w:ascii="Gill Sans MT" w:hAnsi="Gill Sans MT"/>
          <w:color w:val="000000"/>
          <w:sz w:val="22"/>
        </w:rPr>
        <w:t xml:space="preserve">It </w:t>
      </w:r>
      <w:r w:rsidRPr="00AF34A0">
        <w:rPr>
          <w:rFonts w:ascii="Gill Sans MT" w:hAnsi="Gill Sans MT"/>
          <w:sz w:val="22"/>
        </w:rPr>
        <w:t xml:space="preserve">amends Part 9 </w:t>
      </w:r>
      <w:r>
        <w:rPr>
          <w:rFonts w:ascii="Gill Sans MT" w:hAnsi="Gill Sans MT"/>
          <w:sz w:val="22"/>
        </w:rPr>
        <w:t xml:space="preserve">of the Act. </w:t>
      </w:r>
      <w:r w:rsidRPr="00AF34A0">
        <w:rPr>
          <w:rFonts w:ascii="Gill Sans MT" w:hAnsi="Gill Sans MT"/>
          <w:sz w:val="22"/>
        </w:rPr>
        <w:t xml:space="preserve"> Part 9 of the Act provides for non-conviction based unexplained wealth forfeiture laws.</w:t>
      </w:r>
    </w:p>
    <w:p w14:paraId="59319548" w14:textId="18D308F6" w:rsidR="00792E1D" w:rsidRPr="00BC69AE" w:rsidRDefault="00BC69AE" w:rsidP="00FA0EC1">
      <w:pPr>
        <w:pStyle w:val="ListParagraph"/>
        <w:widowControl w:val="0"/>
        <w:numPr>
          <w:ilvl w:val="2"/>
          <w:numId w:val="40"/>
        </w:numPr>
        <w:spacing w:before="0" w:after="140" w:line="280" w:lineRule="atLeast"/>
        <w:ind w:left="426" w:hanging="425"/>
        <w:contextualSpacing w:val="0"/>
        <w:jc w:val="left"/>
        <w:rPr>
          <w:rFonts w:ascii="Gill Sans MT" w:hAnsi="Gill Sans MT"/>
          <w:sz w:val="22"/>
        </w:rPr>
      </w:pPr>
      <w:r w:rsidRPr="00BC69AE">
        <w:rPr>
          <w:rFonts w:ascii="Gill Sans MT" w:hAnsi="Gill Sans MT"/>
          <w:noProof/>
          <w:sz w:val="22"/>
        </w:rPr>
        <w:t xml:space="preserve">Amendments to the </w:t>
      </w:r>
      <w:r w:rsidRPr="00EB2A2C">
        <w:rPr>
          <w:rFonts w:ascii="Gill Sans MT" w:hAnsi="Gill Sans MT"/>
          <w:i/>
          <w:noProof/>
          <w:sz w:val="22"/>
        </w:rPr>
        <w:t>Misuse of Drugs Act 2001</w:t>
      </w:r>
      <w:r w:rsidRPr="00BC69AE">
        <w:rPr>
          <w:rFonts w:ascii="Gill Sans MT" w:hAnsi="Gill Sans MT"/>
          <w:noProof/>
          <w:sz w:val="22"/>
        </w:rPr>
        <w:t xml:space="preserve"> </w:t>
      </w:r>
      <w:r w:rsidR="00E00C94">
        <w:rPr>
          <w:rFonts w:ascii="Gill Sans MT" w:hAnsi="Gill Sans MT"/>
          <w:noProof/>
          <w:sz w:val="22"/>
        </w:rPr>
        <w:t>in 2016</w:t>
      </w:r>
      <w:r w:rsidR="006128EA">
        <w:rPr>
          <w:rFonts w:ascii="Gill Sans MT" w:hAnsi="Gill Sans MT"/>
          <w:noProof/>
          <w:sz w:val="22"/>
        </w:rPr>
        <w:t xml:space="preserve"> </w:t>
      </w:r>
      <w:r w:rsidRPr="00BC69AE">
        <w:rPr>
          <w:rFonts w:ascii="Gill Sans MT" w:hAnsi="Gill Sans MT"/>
          <w:noProof/>
          <w:sz w:val="22"/>
        </w:rPr>
        <w:t>provide</w:t>
      </w:r>
      <w:r w:rsidR="00795BB4">
        <w:rPr>
          <w:rFonts w:ascii="Gill Sans MT" w:hAnsi="Gill Sans MT"/>
          <w:noProof/>
          <w:sz w:val="22"/>
        </w:rPr>
        <w:t>d</w:t>
      </w:r>
      <w:r w:rsidRPr="00BC69AE">
        <w:rPr>
          <w:rFonts w:ascii="Gill Sans MT" w:hAnsi="Gill Sans MT"/>
          <w:noProof/>
          <w:sz w:val="22"/>
        </w:rPr>
        <w:t xml:space="preserve"> the Commissioner of Police with </w:t>
      </w:r>
      <w:r w:rsidR="00795BB4">
        <w:rPr>
          <w:rFonts w:ascii="Gill Sans MT" w:hAnsi="Gill Sans MT"/>
          <w:noProof/>
          <w:sz w:val="22"/>
        </w:rPr>
        <w:t xml:space="preserve">the </w:t>
      </w:r>
      <w:r w:rsidRPr="00BC69AE">
        <w:rPr>
          <w:rFonts w:ascii="Gill Sans MT" w:hAnsi="Gill Sans MT"/>
          <w:noProof/>
          <w:sz w:val="22"/>
        </w:rPr>
        <w:t>statutory power to authorise the expemption of specific people from the operation of the Act in relation to their performance of particular duties</w:t>
      </w:r>
      <w:r w:rsidR="00795BB4">
        <w:rPr>
          <w:rFonts w:ascii="Gill Sans MT" w:hAnsi="Gill Sans MT"/>
          <w:noProof/>
          <w:sz w:val="22"/>
        </w:rPr>
        <w:t xml:space="preserve"> in very limited and controlled circumstances</w:t>
      </w:r>
      <w:r w:rsidRPr="00BC69AE">
        <w:rPr>
          <w:rFonts w:ascii="Gill Sans MT" w:hAnsi="Gill Sans MT"/>
          <w:noProof/>
          <w:sz w:val="22"/>
        </w:rPr>
        <w:t xml:space="preserve">. It confers on the Commissioner of Police a power to authorise police officers to possess and supply a controlled substance in very limited and controlled circumstances.  </w:t>
      </w:r>
      <w:r w:rsidR="00792E1D" w:rsidRPr="00BC69AE">
        <w:rPr>
          <w:rFonts w:ascii="Gill Sans MT" w:hAnsi="Gill Sans MT"/>
          <w:sz w:val="22"/>
        </w:rPr>
        <w:t xml:space="preserve">This supports the (Australian) Enhanced National Intelligence Picture on Illicit Drugs, whereby the Commissioner of Police committed through a memorandum of understanding with the Australian Federal Police to supply the Australian Federal Police with samples of heroin, MDMA (ecstasy) and methamphetamine which have been confiscated in Tasmania, so that the samples can be forensically </w:t>
      </w:r>
      <w:proofErr w:type="spellStart"/>
      <w:r w:rsidR="00792E1D" w:rsidRPr="00BC69AE">
        <w:rPr>
          <w:rFonts w:ascii="Gill Sans MT" w:hAnsi="Gill Sans MT"/>
          <w:sz w:val="22"/>
        </w:rPr>
        <w:t>analysed</w:t>
      </w:r>
      <w:proofErr w:type="spellEnd"/>
      <w:r w:rsidR="00792E1D" w:rsidRPr="00BC69AE">
        <w:rPr>
          <w:rFonts w:ascii="Gill Sans MT" w:hAnsi="Gill Sans MT"/>
          <w:sz w:val="22"/>
        </w:rPr>
        <w:t xml:space="preserve">. </w:t>
      </w:r>
    </w:p>
    <w:p w14:paraId="5E38D87A" w14:textId="77777777" w:rsidR="00792E1D" w:rsidRDefault="00792E1D" w:rsidP="00FA0EC1">
      <w:pPr>
        <w:pStyle w:val="ListParagraph"/>
        <w:widowControl w:val="0"/>
        <w:numPr>
          <w:ilvl w:val="0"/>
          <w:numId w:val="39"/>
        </w:numPr>
        <w:spacing w:before="0" w:after="140" w:line="280" w:lineRule="atLeast"/>
        <w:ind w:left="426" w:hanging="425"/>
        <w:contextualSpacing w:val="0"/>
        <w:jc w:val="left"/>
        <w:rPr>
          <w:rFonts w:ascii="Gill Sans MT" w:hAnsi="Gill Sans MT"/>
          <w:sz w:val="22"/>
        </w:rPr>
      </w:pPr>
      <w:r w:rsidRPr="000A0B62">
        <w:rPr>
          <w:rFonts w:ascii="Gill Sans MT" w:hAnsi="Gill Sans MT"/>
          <w:sz w:val="22"/>
        </w:rPr>
        <w:t xml:space="preserve">The </w:t>
      </w:r>
      <w:r w:rsidRPr="00F854A8">
        <w:rPr>
          <w:rFonts w:ascii="Gill Sans MT" w:hAnsi="Gill Sans MT"/>
          <w:i/>
          <w:sz w:val="22"/>
        </w:rPr>
        <w:t>Poisons Act 1971</w:t>
      </w:r>
      <w:r w:rsidRPr="000A0B62">
        <w:rPr>
          <w:rFonts w:ascii="Gill Sans MT" w:hAnsi="Gill Sans MT"/>
          <w:sz w:val="22"/>
        </w:rPr>
        <w:t xml:space="preserve"> regulates the Tasmanian poppy industry along the whole supply chain, from cultivation through to manufacture and sale, overseen by the Poppy Advisory and Control Board (Board) and the Minister for Health.  </w:t>
      </w:r>
      <w:r w:rsidR="000A0B62" w:rsidRPr="000A0B62">
        <w:rPr>
          <w:rFonts w:ascii="Gill Sans MT" w:hAnsi="Gill Sans MT"/>
          <w:i/>
          <w:sz w:val="22"/>
        </w:rPr>
        <w:t xml:space="preserve">The Poisons </w:t>
      </w:r>
      <w:r w:rsidRPr="000A0B62">
        <w:rPr>
          <w:rFonts w:ascii="Gill Sans MT" w:hAnsi="Gill Sans MT"/>
          <w:i/>
          <w:sz w:val="22"/>
        </w:rPr>
        <w:t>Amendment (Poppy Industry Reform) Act 2016</w:t>
      </w:r>
      <w:r w:rsidRPr="000A0B62">
        <w:rPr>
          <w:rFonts w:ascii="Gill Sans MT" w:hAnsi="Gill Sans MT"/>
          <w:sz w:val="22"/>
        </w:rPr>
        <w:t xml:space="preserve"> directly empowers the Board to issue grower </w:t>
      </w:r>
      <w:proofErr w:type="spellStart"/>
      <w:r w:rsidRPr="000A0B62">
        <w:rPr>
          <w:rFonts w:ascii="Gill Sans MT" w:hAnsi="Gill Sans MT"/>
          <w:sz w:val="22"/>
        </w:rPr>
        <w:t>licences</w:t>
      </w:r>
      <w:proofErr w:type="spellEnd"/>
      <w:r w:rsidRPr="000A0B62">
        <w:rPr>
          <w:rFonts w:ascii="Gill Sans MT" w:hAnsi="Gill Sans MT"/>
          <w:sz w:val="22"/>
        </w:rPr>
        <w:t xml:space="preserve">, previously the responsibility of the Minister for Health.  The regulation of narcotic drug manufacture, research and imports will remain the responsibility of the Minister for Health.  This also clarifies the types of </w:t>
      </w:r>
      <w:proofErr w:type="spellStart"/>
      <w:r w:rsidRPr="000A0B62">
        <w:rPr>
          <w:rFonts w:ascii="Gill Sans MT" w:hAnsi="Gill Sans MT"/>
          <w:sz w:val="22"/>
        </w:rPr>
        <w:t>licence</w:t>
      </w:r>
      <w:proofErr w:type="spellEnd"/>
      <w:r w:rsidRPr="000A0B62">
        <w:rPr>
          <w:rFonts w:ascii="Gill Sans MT" w:hAnsi="Gill Sans MT"/>
          <w:sz w:val="22"/>
        </w:rPr>
        <w:t xml:space="preserve"> that can be issued to grow poppies - a poppy grower's </w:t>
      </w:r>
      <w:proofErr w:type="spellStart"/>
      <w:r w:rsidRPr="000A0B62">
        <w:rPr>
          <w:rFonts w:ascii="Gill Sans MT" w:hAnsi="Gill Sans MT"/>
          <w:sz w:val="22"/>
        </w:rPr>
        <w:t>licence</w:t>
      </w:r>
      <w:proofErr w:type="spellEnd"/>
      <w:r w:rsidRPr="000A0B62">
        <w:rPr>
          <w:rFonts w:ascii="Gill Sans MT" w:hAnsi="Gill Sans MT"/>
          <w:sz w:val="22"/>
        </w:rPr>
        <w:t xml:space="preserve"> and a poppy research </w:t>
      </w:r>
      <w:proofErr w:type="spellStart"/>
      <w:r w:rsidRPr="000A0B62">
        <w:rPr>
          <w:rFonts w:ascii="Gill Sans MT" w:hAnsi="Gill Sans MT"/>
          <w:sz w:val="22"/>
        </w:rPr>
        <w:t>licence</w:t>
      </w:r>
      <w:proofErr w:type="spellEnd"/>
      <w:r w:rsidRPr="000A0B62">
        <w:rPr>
          <w:rFonts w:ascii="Gill Sans MT" w:hAnsi="Gill Sans MT"/>
          <w:sz w:val="22"/>
        </w:rPr>
        <w:t>.  The amendments do not introduce any significant requirements on industry.  Rather, they clarify existing statutory obligations.</w:t>
      </w:r>
    </w:p>
    <w:p w14:paraId="45D59AAF" w14:textId="77777777" w:rsidR="00795BB4" w:rsidRPr="00F934A2" w:rsidRDefault="00795BB4" w:rsidP="00FA0EC1">
      <w:pPr>
        <w:pStyle w:val="ListParagraph"/>
        <w:widowControl w:val="0"/>
        <w:numPr>
          <w:ilvl w:val="0"/>
          <w:numId w:val="41"/>
        </w:numPr>
        <w:shd w:val="clear" w:color="auto" w:fill="FFFFFF"/>
        <w:spacing w:before="0" w:after="140" w:line="280" w:lineRule="atLeast"/>
        <w:ind w:left="426" w:hanging="426"/>
        <w:contextualSpacing w:val="0"/>
        <w:jc w:val="left"/>
        <w:rPr>
          <w:rFonts w:ascii="Gill Sans MT" w:hAnsi="Gill Sans MT"/>
          <w:color w:val="000000"/>
          <w:sz w:val="22"/>
        </w:rPr>
      </w:pPr>
      <w:r w:rsidRPr="00F934A2">
        <w:rPr>
          <w:rFonts w:ascii="Gill Sans MT" w:hAnsi="Gill Sans MT"/>
          <w:sz w:val="22"/>
        </w:rPr>
        <w:t>DPFEM</w:t>
      </w:r>
      <w:r w:rsidRPr="00834F71">
        <w:rPr>
          <w:rFonts w:ascii="Gill Sans MT" w:hAnsi="Gill Sans MT"/>
          <w:sz w:val="22"/>
        </w:rPr>
        <w:t xml:space="preserve"> progressed </w:t>
      </w:r>
      <w:r w:rsidRPr="00F934A2">
        <w:rPr>
          <w:rFonts w:ascii="Gill Sans MT" w:hAnsi="Gill Sans MT"/>
          <w:sz w:val="22"/>
        </w:rPr>
        <w:t xml:space="preserve">a suite of </w:t>
      </w:r>
      <w:r w:rsidRPr="00834F71">
        <w:rPr>
          <w:rFonts w:ascii="Gill Sans MT" w:hAnsi="Gill Sans MT"/>
          <w:sz w:val="22"/>
        </w:rPr>
        <w:t>legislative reforms</w:t>
      </w:r>
      <w:r w:rsidRPr="00F934A2">
        <w:rPr>
          <w:rFonts w:ascii="Gill Sans MT" w:hAnsi="Gill Sans MT"/>
          <w:sz w:val="22"/>
        </w:rPr>
        <w:t xml:space="preserve"> during 2017-18 aimed at combatting </w:t>
      </w:r>
      <w:proofErr w:type="spellStart"/>
      <w:r w:rsidRPr="00F934A2">
        <w:rPr>
          <w:rFonts w:ascii="Gill Sans MT" w:hAnsi="Gill Sans MT"/>
          <w:sz w:val="22"/>
        </w:rPr>
        <w:t>organised</w:t>
      </w:r>
      <w:proofErr w:type="spellEnd"/>
      <w:r w:rsidRPr="00F934A2">
        <w:rPr>
          <w:rFonts w:ascii="Gill Sans MT" w:hAnsi="Gill Sans MT"/>
          <w:sz w:val="22"/>
        </w:rPr>
        <w:t xml:space="preserve"> crime </w:t>
      </w:r>
      <w:r w:rsidRPr="00834F71">
        <w:rPr>
          <w:rFonts w:ascii="Gill Sans MT" w:hAnsi="Gill Sans MT"/>
          <w:sz w:val="22"/>
        </w:rPr>
        <w:t>through increase</w:t>
      </w:r>
      <w:r w:rsidRPr="00F934A2">
        <w:rPr>
          <w:rFonts w:ascii="Gill Sans MT" w:hAnsi="Gill Sans MT"/>
          <w:sz w:val="22"/>
        </w:rPr>
        <w:t>d</w:t>
      </w:r>
      <w:r w:rsidRPr="00834F71">
        <w:rPr>
          <w:rFonts w:ascii="Gill Sans MT" w:hAnsi="Gill Sans MT"/>
          <w:sz w:val="22"/>
        </w:rPr>
        <w:t xml:space="preserve"> control over the presence and identification of </w:t>
      </w:r>
      <w:proofErr w:type="spellStart"/>
      <w:r w:rsidRPr="00834F71">
        <w:rPr>
          <w:rFonts w:ascii="Gill Sans MT" w:hAnsi="Gill Sans MT"/>
          <w:sz w:val="22"/>
        </w:rPr>
        <w:t>organised</w:t>
      </w:r>
      <w:proofErr w:type="spellEnd"/>
      <w:r w:rsidRPr="00834F71">
        <w:rPr>
          <w:rFonts w:ascii="Gill Sans MT" w:hAnsi="Gill Sans MT"/>
          <w:sz w:val="22"/>
        </w:rPr>
        <w:t xml:space="preserve"> criminal groups.</w:t>
      </w:r>
    </w:p>
    <w:p w14:paraId="2E9C07AA" w14:textId="77777777" w:rsidR="00795BB4" w:rsidRPr="00F934A2" w:rsidRDefault="00795BB4" w:rsidP="00FA0EC1">
      <w:pPr>
        <w:pStyle w:val="ListParagraph"/>
        <w:widowControl w:val="0"/>
        <w:numPr>
          <w:ilvl w:val="1"/>
          <w:numId w:val="41"/>
        </w:numPr>
        <w:shd w:val="clear" w:color="auto" w:fill="FFFFFF"/>
        <w:spacing w:before="0" w:after="140" w:line="280" w:lineRule="atLeast"/>
        <w:ind w:left="851" w:hanging="284"/>
        <w:contextualSpacing w:val="0"/>
        <w:jc w:val="left"/>
        <w:rPr>
          <w:rFonts w:ascii="Gill Sans MT" w:hAnsi="Gill Sans MT"/>
          <w:color w:val="000000"/>
          <w:sz w:val="22"/>
        </w:rPr>
      </w:pPr>
      <w:r w:rsidRPr="00834F71">
        <w:rPr>
          <w:rFonts w:ascii="Gill Sans MT" w:hAnsi="Gill Sans MT"/>
          <w:sz w:val="22"/>
        </w:rPr>
        <w:t xml:space="preserve">In September 2017, the </w:t>
      </w:r>
      <w:r w:rsidRPr="00834F71">
        <w:rPr>
          <w:rFonts w:ascii="Gill Sans MT" w:hAnsi="Gill Sans MT"/>
          <w:i/>
          <w:sz w:val="22"/>
        </w:rPr>
        <w:t>Removal of Fortifications Act 2017</w:t>
      </w:r>
      <w:r w:rsidRPr="00834F71">
        <w:rPr>
          <w:rFonts w:ascii="Gill Sans MT" w:hAnsi="Gill Sans MT"/>
          <w:sz w:val="22"/>
        </w:rPr>
        <w:t xml:space="preserve"> was introduced to provide for the removal, modification, or fortifications from premises used by </w:t>
      </w:r>
      <w:proofErr w:type="spellStart"/>
      <w:r w:rsidRPr="00834F71">
        <w:rPr>
          <w:rFonts w:ascii="Gill Sans MT" w:hAnsi="Gill Sans MT"/>
          <w:sz w:val="22"/>
        </w:rPr>
        <w:t>organised</w:t>
      </w:r>
      <w:proofErr w:type="spellEnd"/>
      <w:r w:rsidRPr="00834F71">
        <w:rPr>
          <w:rFonts w:ascii="Gill Sans MT" w:hAnsi="Gill Sans MT"/>
          <w:sz w:val="22"/>
        </w:rPr>
        <w:t xml:space="preserve"> crime in furtherance of criminal enterprises.  </w:t>
      </w:r>
    </w:p>
    <w:p w14:paraId="32DEC14D" w14:textId="77777777" w:rsidR="00795BB4" w:rsidRPr="00F934A2" w:rsidRDefault="00795BB4" w:rsidP="00FA0EC1">
      <w:pPr>
        <w:pStyle w:val="ListParagraph"/>
        <w:widowControl w:val="0"/>
        <w:numPr>
          <w:ilvl w:val="1"/>
          <w:numId w:val="41"/>
        </w:numPr>
        <w:shd w:val="clear" w:color="auto" w:fill="FFFFFF"/>
        <w:spacing w:before="0" w:after="140" w:line="280" w:lineRule="atLeast"/>
        <w:ind w:left="851" w:hanging="284"/>
        <w:contextualSpacing w:val="0"/>
        <w:jc w:val="left"/>
        <w:rPr>
          <w:rFonts w:ascii="Gill Sans MT" w:hAnsi="Gill Sans MT" w:cs="Arial-ItalicMT"/>
          <w:i/>
          <w:iCs/>
          <w:sz w:val="22"/>
          <w:lang w:eastAsia="en-AU"/>
        </w:rPr>
      </w:pPr>
      <w:r w:rsidRPr="00F934A2">
        <w:rPr>
          <w:rFonts w:ascii="Gill Sans MT" w:hAnsi="Gill Sans MT"/>
          <w:color w:val="000000"/>
          <w:sz w:val="22"/>
        </w:rPr>
        <w:t>The</w:t>
      </w:r>
      <w:r w:rsidRPr="00F934A2">
        <w:rPr>
          <w:rFonts w:ascii="Gill Sans MT" w:hAnsi="Gill Sans MT" w:cs="ArialMT"/>
          <w:sz w:val="22"/>
          <w:lang w:eastAsia="en-AU"/>
        </w:rPr>
        <w:t xml:space="preserve"> </w:t>
      </w:r>
      <w:r w:rsidRPr="00F934A2">
        <w:rPr>
          <w:rFonts w:ascii="Gill Sans MT" w:hAnsi="Gill Sans MT" w:cs="Arial-ItalicMT"/>
          <w:i/>
          <w:iCs/>
          <w:sz w:val="22"/>
          <w:lang w:eastAsia="en-AU"/>
        </w:rPr>
        <w:t xml:space="preserve">Police Offences Amendment (Prohibited Insignia) Act 2018 </w:t>
      </w:r>
      <w:r w:rsidRPr="00F934A2">
        <w:rPr>
          <w:rFonts w:ascii="Gill Sans MT" w:hAnsi="Gill Sans MT" w:cs="ArialMT"/>
          <w:sz w:val="22"/>
          <w:lang w:eastAsia="en-AU"/>
        </w:rPr>
        <w:t xml:space="preserve">commenced 1 January 2019, to prevent members of certain </w:t>
      </w:r>
      <w:proofErr w:type="spellStart"/>
      <w:r w:rsidRPr="00F934A2">
        <w:rPr>
          <w:rFonts w:ascii="Gill Sans MT" w:hAnsi="Gill Sans MT" w:cs="ArialMT"/>
          <w:sz w:val="22"/>
          <w:lang w:eastAsia="en-AU"/>
        </w:rPr>
        <w:t>organisations</w:t>
      </w:r>
      <w:proofErr w:type="spellEnd"/>
      <w:r w:rsidRPr="00F934A2">
        <w:rPr>
          <w:rFonts w:ascii="Gill Sans MT" w:hAnsi="Gill Sans MT" w:cs="ArialMT"/>
          <w:sz w:val="22"/>
          <w:lang w:eastAsia="en-AU"/>
        </w:rPr>
        <w:t xml:space="preserve"> from wearing the insignia in public.</w:t>
      </w:r>
    </w:p>
    <w:p w14:paraId="26AA77D2" w14:textId="77777777" w:rsidR="00795BB4" w:rsidRPr="00F934A2" w:rsidRDefault="00795BB4" w:rsidP="00FA0EC1">
      <w:pPr>
        <w:pStyle w:val="ListParagraph"/>
        <w:widowControl w:val="0"/>
        <w:numPr>
          <w:ilvl w:val="1"/>
          <w:numId w:val="41"/>
        </w:numPr>
        <w:shd w:val="clear" w:color="auto" w:fill="FFFFFF"/>
        <w:spacing w:before="0" w:after="140" w:line="280" w:lineRule="atLeast"/>
        <w:ind w:left="851" w:hanging="284"/>
        <w:contextualSpacing w:val="0"/>
        <w:jc w:val="left"/>
        <w:rPr>
          <w:rFonts w:ascii="Gill Sans MT" w:hAnsi="Gill Sans MT" w:cs="ArialMT"/>
          <w:sz w:val="22"/>
          <w:lang w:eastAsia="en-AU"/>
        </w:rPr>
      </w:pPr>
      <w:r w:rsidRPr="00F934A2">
        <w:rPr>
          <w:rFonts w:ascii="Gill Sans MT" w:hAnsi="Gill Sans MT" w:cs="ArialMT"/>
          <w:sz w:val="22"/>
          <w:lang w:eastAsia="en-AU"/>
        </w:rPr>
        <w:t xml:space="preserve">Amendments to the </w:t>
      </w:r>
      <w:r w:rsidRPr="00F934A2">
        <w:rPr>
          <w:rFonts w:ascii="Gill Sans MT" w:hAnsi="Gill Sans MT" w:cs="Arial-ItalicMT"/>
          <w:i/>
          <w:iCs/>
          <w:sz w:val="22"/>
          <w:lang w:eastAsia="en-AU"/>
        </w:rPr>
        <w:t xml:space="preserve">Police Offences Amendment (Consorting) Act 2018 </w:t>
      </w:r>
      <w:r w:rsidRPr="00F934A2">
        <w:rPr>
          <w:rFonts w:ascii="Gill Sans MT" w:hAnsi="Gill Sans MT" w:cs="ArialMT"/>
          <w:sz w:val="22"/>
          <w:lang w:eastAsia="en-AU"/>
        </w:rPr>
        <w:t>provide powers to prevent certain convicted offenders from associating with other identified convicted offenders.</w:t>
      </w:r>
    </w:p>
    <w:p w14:paraId="74C38CC0" w14:textId="77777777" w:rsidR="00795BB4" w:rsidRPr="00F934A2" w:rsidRDefault="00795BB4" w:rsidP="00FA0EC1">
      <w:pPr>
        <w:pStyle w:val="ListParagraph"/>
        <w:widowControl w:val="0"/>
        <w:numPr>
          <w:ilvl w:val="0"/>
          <w:numId w:val="41"/>
        </w:numPr>
        <w:shd w:val="clear" w:color="auto" w:fill="FFFFFF"/>
        <w:spacing w:before="0" w:after="140" w:line="280" w:lineRule="atLeast"/>
        <w:ind w:left="426" w:hanging="426"/>
        <w:contextualSpacing w:val="0"/>
        <w:jc w:val="left"/>
        <w:rPr>
          <w:rFonts w:ascii="Gill Sans MT" w:hAnsi="Gill Sans MT" w:cs="ArialMT"/>
          <w:sz w:val="22"/>
          <w:lang w:eastAsia="en-AU"/>
        </w:rPr>
      </w:pPr>
      <w:r>
        <w:rPr>
          <w:rFonts w:ascii="Gill Sans MT" w:hAnsi="Gill Sans MT"/>
          <w:sz w:val="22"/>
        </w:rPr>
        <w:t xml:space="preserve">In December 2018, </w:t>
      </w:r>
      <w:r w:rsidRPr="00834F71">
        <w:rPr>
          <w:rFonts w:ascii="Gill Sans MT" w:hAnsi="Gill Sans MT"/>
          <w:sz w:val="22"/>
        </w:rPr>
        <w:t>t</w:t>
      </w:r>
      <w:r w:rsidRPr="00F934A2">
        <w:rPr>
          <w:rFonts w:ascii="Gill Sans MT" w:hAnsi="Gill Sans MT"/>
          <w:sz w:val="22"/>
        </w:rPr>
        <w:t>he</w:t>
      </w:r>
      <w:r w:rsidRPr="00F934A2">
        <w:rPr>
          <w:rFonts w:ascii="Gill Sans MT" w:hAnsi="Gill Sans MT" w:cs="ArialMT"/>
          <w:sz w:val="22"/>
          <w:lang w:eastAsia="en-AU"/>
        </w:rPr>
        <w:t xml:space="preserve"> </w:t>
      </w:r>
      <w:r w:rsidRPr="00F934A2">
        <w:rPr>
          <w:rFonts w:ascii="Gill Sans MT" w:hAnsi="Gill Sans MT" w:cs="Arial-ItalicMT"/>
          <w:i/>
          <w:iCs/>
          <w:sz w:val="22"/>
          <w:lang w:eastAsia="en-AU"/>
        </w:rPr>
        <w:t>Road Safety (Alcoho</w:t>
      </w:r>
      <w:r w:rsidRPr="00834F71">
        <w:rPr>
          <w:rFonts w:ascii="Gill Sans MT" w:hAnsi="Gill Sans MT" w:cs="Arial-ItalicMT"/>
          <w:i/>
          <w:iCs/>
          <w:sz w:val="22"/>
          <w:lang w:eastAsia="en-AU"/>
        </w:rPr>
        <w:t xml:space="preserve">l and Drugs) Amendment Act </w:t>
      </w:r>
      <w:r w:rsidRPr="00F934A2">
        <w:rPr>
          <w:rFonts w:ascii="Gill Sans MT" w:hAnsi="Gill Sans MT" w:cs="Arial-ItalicMT"/>
          <w:iCs/>
          <w:sz w:val="22"/>
          <w:lang w:eastAsia="en-AU"/>
        </w:rPr>
        <w:t>2017</w:t>
      </w:r>
      <w:r>
        <w:rPr>
          <w:rFonts w:ascii="Gill Sans MT" w:hAnsi="Gill Sans MT" w:cs="Arial-ItalicMT"/>
          <w:iCs/>
          <w:sz w:val="22"/>
          <w:lang w:eastAsia="en-AU"/>
        </w:rPr>
        <w:t xml:space="preserve"> was introduced </w:t>
      </w:r>
      <w:r w:rsidRPr="00F934A2">
        <w:rPr>
          <w:rFonts w:ascii="Gill Sans MT" w:hAnsi="Gill Sans MT" w:cs="ArialMT"/>
          <w:sz w:val="22"/>
          <w:lang w:eastAsia="en-AU"/>
        </w:rPr>
        <w:t xml:space="preserve">with amendments to improve the </w:t>
      </w:r>
      <w:r w:rsidRPr="00F934A2">
        <w:rPr>
          <w:rFonts w:ascii="Gill Sans MT" w:hAnsi="Gill Sans MT"/>
          <w:sz w:val="22"/>
        </w:rPr>
        <w:t>efficiency</w:t>
      </w:r>
      <w:r w:rsidRPr="00F934A2">
        <w:rPr>
          <w:rFonts w:ascii="Gill Sans MT" w:hAnsi="Gill Sans MT" w:cs="ArialMT"/>
          <w:sz w:val="22"/>
          <w:lang w:eastAsia="en-AU"/>
        </w:rPr>
        <w:t xml:space="preserve"> and effectiveness of Tasmania’s drink- and drug-driving law </w:t>
      </w:r>
      <w:r w:rsidRPr="00F934A2">
        <w:rPr>
          <w:rFonts w:ascii="Gill Sans MT" w:hAnsi="Gill Sans MT"/>
          <w:sz w:val="22"/>
        </w:rPr>
        <w:t>enforcement</w:t>
      </w:r>
      <w:r w:rsidRPr="00F934A2">
        <w:rPr>
          <w:rFonts w:ascii="Gill Sans MT" w:hAnsi="Gill Sans MT" w:cs="ArialMT"/>
          <w:sz w:val="22"/>
          <w:lang w:eastAsia="en-AU"/>
        </w:rPr>
        <w:t xml:space="preserve">. A significant new provision allows samples of oral fluid, instead of blood, to be taken from drivers for laboratory testing prior to a </w:t>
      </w:r>
      <w:r w:rsidRPr="00F934A2">
        <w:rPr>
          <w:rFonts w:ascii="Gill Sans MT" w:hAnsi="Gill Sans MT"/>
          <w:sz w:val="22"/>
        </w:rPr>
        <w:t>positive</w:t>
      </w:r>
      <w:r w:rsidRPr="00F934A2">
        <w:rPr>
          <w:rFonts w:ascii="Gill Sans MT" w:hAnsi="Gill Sans MT" w:cs="ArialMT"/>
          <w:sz w:val="22"/>
          <w:lang w:eastAsia="en-AU"/>
        </w:rPr>
        <w:t xml:space="preserve"> roadside screening test. This in turn reduces the </w:t>
      </w:r>
      <w:r w:rsidRPr="00F934A2">
        <w:rPr>
          <w:rFonts w:ascii="Gill Sans MT" w:hAnsi="Gill Sans MT" w:cs="ArialMT"/>
          <w:sz w:val="22"/>
          <w:lang w:eastAsia="en-AU"/>
        </w:rPr>
        <w:lastRenderedPageBreak/>
        <w:t xml:space="preserve">need for drivers to be taken to hospital for a blood sample to be taken, significantly freeing both </w:t>
      </w:r>
      <w:r w:rsidRPr="00F934A2">
        <w:rPr>
          <w:rFonts w:ascii="Gill Sans MT" w:hAnsi="Gill Sans MT"/>
          <w:sz w:val="22"/>
        </w:rPr>
        <w:t>police</w:t>
      </w:r>
      <w:r w:rsidRPr="00F934A2">
        <w:rPr>
          <w:rFonts w:ascii="Gill Sans MT" w:hAnsi="Gill Sans MT" w:cs="ArialMT"/>
          <w:sz w:val="22"/>
          <w:lang w:eastAsia="en-AU"/>
        </w:rPr>
        <w:t xml:space="preserve"> and health resources.</w:t>
      </w:r>
    </w:p>
    <w:p w14:paraId="6CDA8136" w14:textId="77777777" w:rsidR="00363089" w:rsidRPr="00A44F61" w:rsidRDefault="00363089" w:rsidP="00FA0EC1">
      <w:pPr>
        <w:widowControl w:val="0"/>
        <w:spacing w:line="280" w:lineRule="atLeast"/>
        <w:rPr>
          <w:b/>
        </w:rPr>
      </w:pPr>
      <w:r w:rsidRPr="00A44F61">
        <w:rPr>
          <w:b/>
        </w:rPr>
        <w:t>Support programs and initiatives to reduce alcohol and other drugs related violence, including increasing support for frontline workers (</w:t>
      </w:r>
      <w:proofErr w:type="spellStart"/>
      <w:r w:rsidRPr="00A44F61">
        <w:rPr>
          <w:b/>
        </w:rPr>
        <w:t>eg</w:t>
      </w:r>
      <w:proofErr w:type="spellEnd"/>
      <w:r w:rsidRPr="00A44F61">
        <w:rPr>
          <w:b/>
        </w:rPr>
        <w:t xml:space="preserve"> Police, Ambulance Officers and Emergency Department personnel)</w:t>
      </w:r>
    </w:p>
    <w:p w14:paraId="159BEE3B" w14:textId="77777777" w:rsidR="00363089" w:rsidRDefault="00363089" w:rsidP="00FA0EC1">
      <w:pPr>
        <w:widowControl w:val="0"/>
        <w:spacing w:line="280" w:lineRule="atLeast"/>
      </w:pPr>
      <w:r w:rsidRPr="00A44F61">
        <w:rPr>
          <w:b/>
        </w:rPr>
        <w:t>Strengthen the capacity of the primary health care system in the use of a range of evidence-based screening</w:t>
      </w:r>
      <w:r>
        <w:t xml:space="preserve"> </w:t>
      </w:r>
      <w:r w:rsidRPr="00A44F61">
        <w:rPr>
          <w:b/>
        </w:rPr>
        <w:t>and brief interventions, to better respond to individuals, families and communities</w:t>
      </w:r>
    </w:p>
    <w:p w14:paraId="1A0EF96B" w14:textId="77777777" w:rsidR="00AD6186" w:rsidRPr="00B26C94" w:rsidRDefault="00AD6186" w:rsidP="00FA0EC1">
      <w:pPr>
        <w:pStyle w:val="BulletedListLevel1"/>
        <w:widowControl w:val="0"/>
        <w:numPr>
          <w:ilvl w:val="0"/>
          <w:numId w:val="38"/>
        </w:numPr>
        <w:spacing w:line="280" w:lineRule="atLeast"/>
        <w:ind w:left="425" w:hanging="425"/>
        <w:rPr>
          <w:szCs w:val="22"/>
        </w:rPr>
      </w:pPr>
      <w:r w:rsidRPr="00991F71">
        <w:rPr>
          <w:szCs w:val="22"/>
        </w:rPr>
        <w:t>On 23 April 2016, the Tasmanian Government announced the introduction of a Controlled Access Scheme (CAS) to allow Tasmanian patients to access medical cannabis products under prescription from a medical specialist, in certain circumstances where treatment with</w:t>
      </w:r>
      <w:r w:rsidRPr="00B26C94">
        <w:rPr>
          <w:szCs w:val="22"/>
        </w:rPr>
        <w:t xml:space="preserve"> conventional medication has been unsuccessful.  This was made possible due to </w:t>
      </w:r>
      <w:r w:rsidRPr="00B26C94">
        <w:rPr>
          <w:szCs w:val="22"/>
          <w:lang w:val="en-US"/>
        </w:rPr>
        <w:t xml:space="preserve">the federal government </w:t>
      </w:r>
      <w:r w:rsidRPr="00B26C94">
        <w:rPr>
          <w:szCs w:val="22"/>
        </w:rPr>
        <w:t xml:space="preserve">amendments to the </w:t>
      </w:r>
      <w:r w:rsidRPr="00B26C94">
        <w:rPr>
          <w:i/>
          <w:szCs w:val="22"/>
        </w:rPr>
        <w:t>Narcotic Drugs Act 1967</w:t>
      </w:r>
      <w:r w:rsidRPr="00B26C94">
        <w:rPr>
          <w:szCs w:val="22"/>
        </w:rPr>
        <w:t xml:space="preserve"> </w:t>
      </w:r>
      <w:r>
        <w:rPr>
          <w:szCs w:val="22"/>
        </w:rPr>
        <w:t>and the decision of</w:t>
      </w:r>
      <w:r w:rsidRPr="00B26C94">
        <w:rPr>
          <w:szCs w:val="22"/>
        </w:rPr>
        <w:t xml:space="preserve"> Therapeutic Goods Administration’s (TGA) Scheduling Delegate, to down-schedule medical cannabis products from being listed as a Prohibited Substance in Schedule 9 to a Controlled Drug in Schedule 8. </w:t>
      </w:r>
    </w:p>
    <w:p w14:paraId="4B834940" w14:textId="77777777" w:rsidR="00AD6186" w:rsidRDefault="00AD6186" w:rsidP="00FA0EC1">
      <w:pPr>
        <w:pStyle w:val="BulletedListLevel1"/>
        <w:widowControl w:val="0"/>
        <w:numPr>
          <w:ilvl w:val="0"/>
          <w:numId w:val="38"/>
        </w:numPr>
        <w:spacing w:line="280" w:lineRule="atLeast"/>
        <w:ind w:left="425" w:hanging="425"/>
        <w:rPr>
          <w:szCs w:val="22"/>
        </w:rPr>
      </w:pPr>
      <w:r w:rsidRPr="007F56B2">
        <w:rPr>
          <w:szCs w:val="22"/>
          <w:shd w:val="clear" w:color="auto" w:fill="FFFFFF"/>
        </w:rPr>
        <w:t xml:space="preserve">The State Government provided $3.75 million in the 2016-17 </w:t>
      </w:r>
      <w:r w:rsidR="004928DB">
        <w:rPr>
          <w:szCs w:val="22"/>
          <w:shd w:val="clear" w:color="auto" w:fill="FFFFFF"/>
        </w:rPr>
        <w:t>b</w:t>
      </w:r>
      <w:r w:rsidRPr="007F56B2">
        <w:rPr>
          <w:szCs w:val="22"/>
          <w:shd w:val="clear" w:color="auto" w:fill="FFFFFF"/>
        </w:rPr>
        <w:t xml:space="preserve">udget to support the implementation of the Tasmanian </w:t>
      </w:r>
      <w:r w:rsidR="00731550">
        <w:rPr>
          <w:szCs w:val="22"/>
          <w:shd w:val="clear" w:color="auto" w:fill="FFFFFF"/>
        </w:rPr>
        <w:t xml:space="preserve">CAS. </w:t>
      </w:r>
      <w:r w:rsidR="00731550">
        <w:rPr>
          <w:szCs w:val="22"/>
        </w:rPr>
        <w:t>This</w:t>
      </w:r>
      <w:r w:rsidRPr="007F56B2">
        <w:rPr>
          <w:szCs w:val="22"/>
        </w:rPr>
        <w:t xml:space="preserve"> will enable the comprehensive clinical assessment of patients with severe epilepsy who may be eligible for medical cannabis, due to being non-responsive to mainstream medications. It will mean that patients can be prescribed with unregistered medical cannabis products by an appropriately qualified, specialist doctor. </w:t>
      </w:r>
    </w:p>
    <w:p w14:paraId="069DEBC1" w14:textId="77777777" w:rsidR="00F854A8" w:rsidRPr="003B4A24" w:rsidRDefault="00F854A8" w:rsidP="00FA0EC1">
      <w:pPr>
        <w:pStyle w:val="BodyTextIndent"/>
        <w:widowControl w:val="0"/>
        <w:numPr>
          <w:ilvl w:val="0"/>
          <w:numId w:val="38"/>
        </w:numPr>
        <w:tabs>
          <w:tab w:val="clear" w:pos="567"/>
        </w:tabs>
        <w:spacing w:line="280" w:lineRule="atLeast"/>
        <w:ind w:left="425" w:hanging="425"/>
      </w:pPr>
      <w:r w:rsidRPr="003B4A24">
        <w:t xml:space="preserve">The updated </w:t>
      </w:r>
      <w:proofErr w:type="spellStart"/>
      <w:r w:rsidRPr="003B4A24">
        <w:t>Fetal</w:t>
      </w:r>
      <w:proofErr w:type="spellEnd"/>
      <w:r w:rsidRPr="003B4A24">
        <w:t xml:space="preserve"> Alcohol Spectrum Disorder (FASD) Handbook for Health Professionals </w:t>
      </w:r>
      <w:r>
        <w:t xml:space="preserve">developed by the Drug Education Network </w:t>
      </w:r>
      <w:r w:rsidRPr="003B4A24">
        <w:t xml:space="preserve">was launched 7 September 2016. </w:t>
      </w:r>
    </w:p>
    <w:p w14:paraId="7369F3DF" w14:textId="77777777" w:rsidR="00F854A8" w:rsidRPr="007F56B2" w:rsidRDefault="00F854A8" w:rsidP="00FA0EC1">
      <w:pPr>
        <w:pStyle w:val="BulletedListLevel1"/>
        <w:widowControl w:val="0"/>
        <w:numPr>
          <w:ilvl w:val="0"/>
          <w:numId w:val="38"/>
        </w:numPr>
        <w:spacing w:line="280" w:lineRule="atLeast"/>
        <w:ind w:left="425" w:hanging="425"/>
        <w:rPr>
          <w:szCs w:val="22"/>
        </w:rPr>
      </w:pPr>
      <w:r>
        <w:rPr>
          <w:szCs w:val="22"/>
        </w:rPr>
        <w:t xml:space="preserve">The Brief Intervention Scaffold project was designed to provide Tasmanian community services workers with the framing and tools to craft effective, evidence-based brief interventions. It supports the release in early 2019 of the Tasmanian Alcohol and Other Drug Brief Intervention Framework.  The Drug Education Network </w:t>
      </w:r>
      <w:r w:rsidR="00C01E96">
        <w:rPr>
          <w:szCs w:val="22"/>
        </w:rPr>
        <w:t xml:space="preserve">also ran </w:t>
      </w:r>
      <w:r>
        <w:rPr>
          <w:szCs w:val="22"/>
        </w:rPr>
        <w:t xml:space="preserve">training in July 2019 </w:t>
      </w:r>
      <w:r w:rsidR="0040564A">
        <w:rPr>
          <w:szCs w:val="22"/>
        </w:rPr>
        <w:t xml:space="preserve">to provide an understanding of brief interventions, techniques </w:t>
      </w:r>
      <w:r w:rsidR="00752316">
        <w:rPr>
          <w:szCs w:val="22"/>
        </w:rPr>
        <w:t xml:space="preserve">for use in work sites, and how to use brief interventions for alcohol, tobacco and other drugs issues. </w:t>
      </w:r>
    </w:p>
    <w:p w14:paraId="42BDAB05" w14:textId="77777777" w:rsidR="00363089" w:rsidRPr="00A44F61" w:rsidRDefault="00363089" w:rsidP="00FA0EC1">
      <w:pPr>
        <w:widowControl w:val="0"/>
        <w:spacing w:line="280" w:lineRule="atLeast"/>
        <w:rPr>
          <w:b/>
        </w:rPr>
      </w:pPr>
      <w:r w:rsidRPr="00A44F61">
        <w:rPr>
          <w:b/>
        </w:rPr>
        <w:t>Increase the range and availability of, and access to, appropriate services for individuals experiencing problematic drugs use including for individuals with diverse, complex and high needs</w:t>
      </w:r>
    </w:p>
    <w:p w14:paraId="0156C626" w14:textId="77777777" w:rsidR="00A77588" w:rsidRPr="00A77588" w:rsidRDefault="00A77588" w:rsidP="00FA0EC1">
      <w:pPr>
        <w:pStyle w:val="ListParagraph"/>
        <w:widowControl w:val="0"/>
        <w:numPr>
          <w:ilvl w:val="0"/>
          <w:numId w:val="39"/>
        </w:numPr>
        <w:spacing w:before="0" w:after="140" w:line="280" w:lineRule="atLeast"/>
        <w:ind w:left="426" w:hanging="426"/>
        <w:contextualSpacing w:val="0"/>
        <w:jc w:val="left"/>
        <w:rPr>
          <w:rFonts w:ascii="Gill Sans MT" w:hAnsi="Gill Sans MT"/>
          <w:sz w:val="22"/>
        </w:rPr>
      </w:pPr>
      <w:r w:rsidRPr="00A77588">
        <w:rPr>
          <w:rFonts w:ascii="Gill Sans MT" w:hAnsi="Gill Sans MT"/>
          <w:sz w:val="22"/>
        </w:rPr>
        <w:t xml:space="preserve">The </w:t>
      </w:r>
      <w:r w:rsidRPr="00A77588">
        <w:rPr>
          <w:rFonts w:ascii="Gill Sans MT" w:hAnsi="Gill Sans MT"/>
          <w:i/>
          <w:sz w:val="22"/>
        </w:rPr>
        <w:t>Review of Drug Use and Service Responses in North West Tasmania</w:t>
      </w:r>
      <w:r w:rsidRPr="00A77588">
        <w:rPr>
          <w:rFonts w:ascii="Gill Sans MT" w:hAnsi="Gill Sans MT"/>
          <w:sz w:val="22"/>
        </w:rPr>
        <w:t xml:space="preserve"> final report (NW Review) was released by the Minister for Health in November 2014.  This review was requested by the Minister for Health and undertaken by the </w:t>
      </w:r>
      <w:r w:rsidR="004928DB">
        <w:rPr>
          <w:rFonts w:ascii="Gill Sans MT" w:hAnsi="Gill Sans MT"/>
          <w:sz w:val="22"/>
        </w:rPr>
        <w:t>now Department of Health</w:t>
      </w:r>
      <w:r w:rsidRPr="00A77588">
        <w:rPr>
          <w:rFonts w:ascii="Gill Sans MT" w:hAnsi="Gill Sans MT"/>
          <w:sz w:val="22"/>
        </w:rPr>
        <w:t xml:space="preserve"> and the Alcohol and Drug Services (located within the Tasmanian Health Service) in response to concerns regarding the use of crystal methamphetamine on the North West. The recommendations of the review </w:t>
      </w:r>
      <w:r w:rsidR="004928DB">
        <w:rPr>
          <w:rFonts w:ascii="Gill Sans MT" w:hAnsi="Gill Sans MT"/>
          <w:sz w:val="22"/>
        </w:rPr>
        <w:t>were</w:t>
      </w:r>
      <w:r w:rsidRPr="00A77588">
        <w:rPr>
          <w:rFonts w:ascii="Gill Sans MT" w:hAnsi="Gill Sans MT"/>
          <w:sz w:val="22"/>
        </w:rPr>
        <w:t xml:space="preserve"> intended to enhance the response to drug use issues (including crystal methamphetamine) not just in the North West, but across Tasmania</w:t>
      </w:r>
    </w:p>
    <w:p w14:paraId="78FC3F6C" w14:textId="77777777" w:rsidR="00A77588" w:rsidRPr="00A77588" w:rsidRDefault="00A77588" w:rsidP="00FA0EC1">
      <w:pPr>
        <w:pStyle w:val="ListParagraph"/>
        <w:widowControl w:val="0"/>
        <w:numPr>
          <w:ilvl w:val="0"/>
          <w:numId w:val="39"/>
        </w:numPr>
        <w:spacing w:before="0" w:after="140" w:line="280" w:lineRule="atLeast"/>
        <w:ind w:left="426" w:hanging="426"/>
        <w:contextualSpacing w:val="0"/>
        <w:jc w:val="left"/>
        <w:rPr>
          <w:rFonts w:ascii="Gill Sans MT" w:hAnsi="Gill Sans MT" w:cs="Arial"/>
          <w:sz w:val="22"/>
        </w:rPr>
      </w:pPr>
      <w:r w:rsidRPr="00A77588">
        <w:rPr>
          <w:rFonts w:ascii="Gill Sans MT" w:hAnsi="Gill Sans MT"/>
          <w:sz w:val="22"/>
        </w:rPr>
        <w:t xml:space="preserve">The National Ice Taskforce (‘Taskforce’) was established in April 2015 to lead the development and implementation of a National Ice Action Strategy by the end of 2015.  </w:t>
      </w:r>
      <w:r w:rsidRPr="00A77588">
        <w:rPr>
          <w:rFonts w:ascii="Gill Sans MT" w:hAnsi="Gill Sans MT" w:cs="Arial"/>
          <w:sz w:val="22"/>
        </w:rPr>
        <w:t>At the request</w:t>
      </w:r>
      <w:r w:rsidRPr="00A77588">
        <w:rPr>
          <w:rFonts w:ascii="Gill Sans MT" w:hAnsi="Gill Sans MT" w:cs="Arial"/>
          <w:color w:val="000000"/>
          <w:sz w:val="22"/>
        </w:rPr>
        <w:t xml:space="preserve"> of </w:t>
      </w:r>
      <w:r w:rsidRPr="00A77588">
        <w:rPr>
          <w:rFonts w:ascii="Gill Sans MT" w:hAnsi="Gill Sans MT" w:cs="Arial"/>
          <w:sz w:val="22"/>
        </w:rPr>
        <w:t>Cabinet, the IAWGD was tasked to lead implementation of the findings of the NW Review</w:t>
      </w:r>
      <w:r w:rsidRPr="00A77588">
        <w:rPr>
          <w:rFonts w:ascii="Gill Sans MT" w:eastAsia="Cambria" w:hAnsi="Gill Sans MT" w:cs="Arial"/>
          <w:i/>
          <w:sz w:val="22"/>
        </w:rPr>
        <w:t>.</w:t>
      </w:r>
      <w:r w:rsidRPr="00A77588">
        <w:rPr>
          <w:rFonts w:ascii="Gill Sans MT" w:hAnsi="Gill Sans MT" w:cs="Arial"/>
          <w:sz w:val="22"/>
        </w:rPr>
        <w:t xml:space="preserve"> </w:t>
      </w:r>
    </w:p>
    <w:p w14:paraId="001A051B" w14:textId="77777777" w:rsidR="003B4A24" w:rsidRPr="00C2338D" w:rsidRDefault="003B4A24" w:rsidP="00FA0EC1">
      <w:pPr>
        <w:pStyle w:val="ListBullet"/>
        <w:widowControl w:val="0"/>
        <w:numPr>
          <w:ilvl w:val="0"/>
          <w:numId w:val="39"/>
        </w:numPr>
        <w:tabs>
          <w:tab w:val="clear" w:pos="567"/>
        </w:tabs>
        <w:spacing w:line="280" w:lineRule="atLeast"/>
        <w:ind w:left="426" w:hanging="426"/>
      </w:pPr>
      <w:r w:rsidRPr="00C2338D">
        <w:t xml:space="preserve">In 2015 additional funding of $4.8 million over four years was provided to implement recommendations from the </w:t>
      </w:r>
      <w:r w:rsidRPr="00C2338D">
        <w:rPr>
          <w:i/>
        </w:rPr>
        <w:t xml:space="preserve">Review of Drug Use and Service Responses in North West Tasmania </w:t>
      </w:r>
      <w:r w:rsidRPr="00C2338D">
        <w:t xml:space="preserve">final report (NW Review Report). </w:t>
      </w:r>
    </w:p>
    <w:p w14:paraId="014286FF" w14:textId="77777777" w:rsidR="003B4A24" w:rsidRPr="00C2338D" w:rsidRDefault="003B4A24" w:rsidP="00FA0EC1">
      <w:pPr>
        <w:pStyle w:val="NormalWeb"/>
        <w:widowControl w:val="0"/>
        <w:numPr>
          <w:ilvl w:val="0"/>
          <w:numId w:val="39"/>
        </w:numPr>
        <w:tabs>
          <w:tab w:val="clear" w:pos="567"/>
        </w:tabs>
        <w:spacing w:line="280" w:lineRule="atLeast"/>
        <w:ind w:left="426" w:hanging="426"/>
        <w:rPr>
          <w:rFonts w:ascii="Gill Sans MT" w:hAnsi="Gill Sans MT"/>
          <w:sz w:val="22"/>
        </w:rPr>
      </w:pPr>
      <w:r w:rsidRPr="00C2338D">
        <w:rPr>
          <w:rFonts w:ascii="Gill Sans MT" w:hAnsi="Gill Sans MT"/>
          <w:sz w:val="22"/>
        </w:rPr>
        <w:t xml:space="preserve">A new 12 bed residential rehabilitation facility was established in the Ulverstone by the Salvation Army.  It commenced operation on 1 March 2016 and was officially opened by the Minister for Health on 14 </w:t>
      </w:r>
      <w:r w:rsidRPr="00C2338D">
        <w:rPr>
          <w:rFonts w:ascii="Gill Sans MT" w:hAnsi="Gill Sans MT"/>
          <w:sz w:val="22"/>
        </w:rPr>
        <w:lastRenderedPageBreak/>
        <w:t xml:space="preserve">April 2016.   </w:t>
      </w:r>
    </w:p>
    <w:p w14:paraId="7041A23A" w14:textId="77777777" w:rsidR="003B4A24" w:rsidRPr="004928DB" w:rsidRDefault="003B4A24" w:rsidP="00FA0EC1">
      <w:pPr>
        <w:pStyle w:val="ListParagraph"/>
        <w:widowControl w:val="0"/>
        <w:numPr>
          <w:ilvl w:val="0"/>
          <w:numId w:val="39"/>
        </w:numPr>
        <w:spacing w:before="0" w:after="140" w:line="280" w:lineRule="atLeast"/>
        <w:ind w:left="426" w:hanging="426"/>
        <w:contextualSpacing w:val="0"/>
        <w:jc w:val="left"/>
        <w:rPr>
          <w:rFonts w:ascii="Gill Sans MT" w:hAnsi="Gill Sans MT"/>
          <w:sz w:val="22"/>
        </w:rPr>
      </w:pPr>
      <w:r w:rsidRPr="003B4A24">
        <w:rPr>
          <w:rFonts w:ascii="Gill Sans MT" w:hAnsi="Gill Sans MT"/>
          <w:sz w:val="22"/>
        </w:rPr>
        <w:t xml:space="preserve">In 2016-17 </w:t>
      </w:r>
      <w:r w:rsidR="004928DB">
        <w:rPr>
          <w:rFonts w:ascii="Gill Sans MT" w:hAnsi="Gill Sans MT"/>
          <w:sz w:val="22"/>
        </w:rPr>
        <w:t>the Department of Health</w:t>
      </w:r>
      <w:r w:rsidRPr="003B4A24">
        <w:rPr>
          <w:rFonts w:ascii="Gill Sans MT" w:hAnsi="Gill Sans MT"/>
          <w:sz w:val="22"/>
        </w:rPr>
        <w:t xml:space="preserve"> initiated an independent analysis of the current alcohol and other drugs treatment service system, which resulted in a suite of internal technical papers that will be used to inform the development of an alcohol and other drugs service system framework. The framework will be the new plan to guide the development, funding and delivery of alcohol and other drugs (AOD) services in Tasmania.</w:t>
      </w:r>
      <w:r w:rsidR="004928DB" w:rsidRPr="004928DB">
        <w:rPr>
          <w:rFonts w:ascii="Gill Sans MT" w:hAnsi="Gill Sans MT"/>
          <w:sz w:val="22"/>
        </w:rPr>
        <w:t xml:space="preserve"> </w:t>
      </w:r>
      <w:r w:rsidR="004928DB" w:rsidRPr="00C2338D">
        <w:rPr>
          <w:rFonts w:ascii="Gill Sans MT" w:hAnsi="Gill Sans MT"/>
          <w:sz w:val="22"/>
        </w:rPr>
        <w:t xml:space="preserve">Siggins Miller Consultants Pty Ltd who are specialists in the AOD area were engaged to undertake an independent analysis of the current AOD service system.  </w:t>
      </w:r>
    </w:p>
    <w:p w14:paraId="20F97F20" w14:textId="5E2A4B97" w:rsidR="003B4A24" w:rsidRPr="00C2338D" w:rsidRDefault="003B4A24" w:rsidP="00FA0EC1">
      <w:pPr>
        <w:pStyle w:val="ListParagraph"/>
        <w:widowControl w:val="0"/>
        <w:numPr>
          <w:ilvl w:val="0"/>
          <w:numId w:val="39"/>
        </w:numPr>
        <w:spacing w:before="0" w:after="140" w:line="280" w:lineRule="atLeast"/>
        <w:ind w:left="426" w:hanging="426"/>
        <w:contextualSpacing w:val="0"/>
        <w:jc w:val="left"/>
        <w:rPr>
          <w:rFonts w:ascii="Gill Sans MT" w:hAnsi="Gill Sans MT"/>
          <w:sz w:val="22"/>
        </w:rPr>
      </w:pPr>
      <w:r w:rsidRPr="00C2338D">
        <w:rPr>
          <w:rFonts w:ascii="Gill Sans MT" w:hAnsi="Gill Sans MT"/>
          <w:sz w:val="22"/>
        </w:rPr>
        <w:t xml:space="preserve">The development of the alcohol and other drugs service system framework (Reform Agenda for </w:t>
      </w:r>
      <w:r w:rsidR="009A6143">
        <w:rPr>
          <w:rFonts w:ascii="Gill Sans MT" w:hAnsi="Gill Sans MT"/>
          <w:sz w:val="22"/>
        </w:rPr>
        <w:t xml:space="preserve">the </w:t>
      </w:r>
      <w:r w:rsidRPr="00C2338D">
        <w:rPr>
          <w:rFonts w:ascii="Gill Sans MT" w:hAnsi="Gill Sans MT"/>
          <w:sz w:val="22"/>
        </w:rPr>
        <w:t>Alcohol and Drug Se</w:t>
      </w:r>
      <w:r w:rsidR="009A6143">
        <w:rPr>
          <w:rFonts w:ascii="Gill Sans MT" w:hAnsi="Gill Sans MT"/>
          <w:sz w:val="22"/>
        </w:rPr>
        <w:t>ctor</w:t>
      </w:r>
      <w:r w:rsidRPr="00C2338D">
        <w:rPr>
          <w:rFonts w:ascii="Gill Sans MT" w:hAnsi="Gill Sans MT"/>
          <w:sz w:val="22"/>
        </w:rPr>
        <w:t xml:space="preserve"> in Tasmania) has been informed largely by the work of Siggins Miller.   An Advisory Group, Communications Working Group and Drafting Working Group were all convened in 2017-18 to inform this key project, which is being led by the Mental Health, Alcohol and Drug Directorate working closely with the Alcohol, Tobacco and other Drugs Council Tasmania, Primary Health Tasmania and the Tasmanian Health Service.  </w:t>
      </w:r>
      <w:r w:rsidR="00F211D9">
        <w:rPr>
          <w:rFonts w:ascii="Gill Sans MT" w:hAnsi="Gill Sans MT"/>
          <w:sz w:val="22"/>
        </w:rPr>
        <w:t>The final Reform Agenda is expected to be completed in 2019.</w:t>
      </w:r>
    </w:p>
    <w:p w14:paraId="1E8EA4A7" w14:textId="3B65A877" w:rsidR="0028255F" w:rsidRPr="00CF5C49" w:rsidRDefault="003B4A24" w:rsidP="00CF5C49">
      <w:pPr>
        <w:pStyle w:val="ListParagraph"/>
        <w:widowControl w:val="0"/>
        <w:numPr>
          <w:ilvl w:val="0"/>
          <w:numId w:val="39"/>
        </w:numPr>
        <w:spacing w:before="0" w:after="140" w:line="280" w:lineRule="atLeast"/>
        <w:ind w:left="425" w:hanging="425"/>
        <w:contextualSpacing w:val="0"/>
        <w:jc w:val="left"/>
        <w:rPr>
          <w:rFonts w:ascii="Gill Sans MT" w:hAnsi="Gill Sans MT"/>
          <w:sz w:val="22"/>
        </w:rPr>
      </w:pPr>
      <w:r w:rsidRPr="002046CA">
        <w:rPr>
          <w:rFonts w:ascii="Gill Sans MT" w:hAnsi="Gill Sans MT"/>
          <w:sz w:val="22"/>
        </w:rPr>
        <w:t xml:space="preserve">The work of Siggins Miller also identified the need for more residential rehabilitation beds in Tasmania.  In the 2018 budget, additional funding of $6 million over three years </w:t>
      </w:r>
      <w:r w:rsidR="002046CA">
        <w:rPr>
          <w:rFonts w:ascii="Gill Sans MT" w:hAnsi="Gill Sans MT"/>
          <w:sz w:val="22"/>
        </w:rPr>
        <w:t>which</w:t>
      </w:r>
      <w:r w:rsidR="002046CA" w:rsidRPr="002046CA">
        <w:rPr>
          <w:rFonts w:ascii="Gill Sans MT" w:hAnsi="Gill Sans MT"/>
          <w:sz w:val="22"/>
        </w:rPr>
        <w:t xml:space="preserve"> resulted in </w:t>
      </w:r>
      <w:r w:rsidR="0028255F">
        <w:rPr>
          <w:rFonts w:ascii="Gill Sans MT" w:hAnsi="Gill Sans MT"/>
          <w:sz w:val="22"/>
        </w:rPr>
        <w:t>a</w:t>
      </w:r>
      <w:r w:rsidR="0028255F" w:rsidRPr="0028255F">
        <w:rPr>
          <w:rFonts w:ascii="Gill Sans MT" w:hAnsi="Gill Sans MT" w:cstheme="minorHAnsi"/>
          <w:sz w:val="22"/>
        </w:rPr>
        <w:t xml:space="preserve"> mix of 30 additional residential rehabilitation beds including day programs and after-care services and 1 community-based non-medicated withdrawal management bed. This includes 10 additional beds in the North, 5 in the North West and 16 in the South.  The funded </w:t>
      </w:r>
      <w:proofErr w:type="spellStart"/>
      <w:r w:rsidR="0028255F" w:rsidRPr="0028255F">
        <w:rPr>
          <w:rFonts w:ascii="Gill Sans MT" w:hAnsi="Gill Sans MT" w:cstheme="minorHAnsi"/>
          <w:sz w:val="22"/>
        </w:rPr>
        <w:t>organisations</w:t>
      </w:r>
      <w:proofErr w:type="spellEnd"/>
      <w:r w:rsidR="0028255F" w:rsidRPr="0028255F">
        <w:rPr>
          <w:rFonts w:ascii="Gill Sans MT" w:hAnsi="Gill Sans MT" w:cstheme="minorHAnsi"/>
          <w:sz w:val="22"/>
        </w:rPr>
        <w:t xml:space="preserve"> are working closely together to provide a statewide step-up step-down model for short- or longer-term residential rehabilitation, including aftercare and relapse prevention services for both in-patients and out-patients.  They are also working closely with the state Alcohol and Drug Service Inpatient Withdrawal Management Unit on the Partnership in Alcohol and Other Drugs Residential Treatment (PART) Panel which provides a triage, referral and timely admission pathway for those seeking residential treatment.</w:t>
      </w:r>
    </w:p>
    <w:p w14:paraId="45FCBCD7" w14:textId="2140E39F" w:rsidR="00CF5C49" w:rsidRPr="00CF5C49" w:rsidRDefault="00CF5C49" w:rsidP="00CF5C49">
      <w:pPr>
        <w:pStyle w:val="ListParagraph"/>
        <w:widowControl w:val="0"/>
        <w:numPr>
          <w:ilvl w:val="0"/>
          <w:numId w:val="39"/>
        </w:numPr>
        <w:spacing w:before="0" w:after="140" w:line="280" w:lineRule="atLeast"/>
        <w:ind w:left="425" w:hanging="425"/>
        <w:contextualSpacing w:val="0"/>
        <w:jc w:val="left"/>
        <w:rPr>
          <w:rFonts w:ascii="Gill Sans MT" w:hAnsi="Gill Sans MT"/>
          <w:sz w:val="22"/>
        </w:rPr>
      </w:pPr>
      <w:r w:rsidRPr="00CF5C49">
        <w:rPr>
          <w:rFonts w:ascii="Gill Sans MT" w:hAnsi="Gill Sans MT"/>
          <w:sz w:val="22"/>
        </w:rPr>
        <w:t xml:space="preserve">As part of the 2018 budget, </w:t>
      </w:r>
      <w:r>
        <w:rPr>
          <w:rFonts w:ascii="Gill Sans MT" w:hAnsi="Gill Sans MT"/>
          <w:sz w:val="22"/>
        </w:rPr>
        <w:t>the State Government also</w:t>
      </w:r>
      <w:r w:rsidRPr="00CF5C49">
        <w:rPr>
          <w:rFonts w:ascii="Gill Sans MT" w:hAnsi="Gill Sans MT"/>
          <w:sz w:val="22"/>
        </w:rPr>
        <w:t xml:space="preserve"> provided </w:t>
      </w:r>
      <w:r w:rsidRPr="00CF5C49">
        <w:rPr>
          <w:rFonts w:ascii="Gill Sans MT" w:hAnsi="Gill Sans MT"/>
          <w:sz w:val="22"/>
          <w:lang w:eastAsia="en-AU"/>
        </w:rPr>
        <w:t xml:space="preserve">$870 000 over two years to the Australian Drug Foundation for the </w:t>
      </w:r>
      <w:r>
        <w:rPr>
          <w:rFonts w:ascii="Gill Sans MT" w:hAnsi="Gill Sans MT"/>
          <w:sz w:val="22"/>
          <w:lang w:eastAsia="en-AU"/>
        </w:rPr>
        <w:t xml:space="preserve">expanded </w:t>
      </w:r>
      <w:r w:rsidRPr="00CF5C49">
        <w:rPr>
          <w:rFonts w:ascii="Gill Sans MT" w:hAnsi="Gill Sans MT"/>
          <w:sz w:val="22"/>
          <w:lang w:eastAsia="en-AU"/>
        </w:rPr>
        <w:t xml:space="preserve">Good Sports and Healthy Minds programs; $100 000 per annum for two years to Pathways Tasmania to include a residential rehabilitation program specifically for women; and $50 000 per annum for two years to the Holyoake </w:t>
      </w:r>
      <w:proofErr w:type="spellStart"/>
      <w:r w:rsidRPr="00CF5C49">
        <w:rPr>
          <w:rFonts w:ascii="Gill Sans MT" w:hAnsi="Gill Sans MT"/>
          <w:sz w:val="22"/>
          <w:lang w:eastAsia="en-AU"/>
        </w:rPr>
        <w:t>Gottawanna</w:t>
      </w:r>
      <w:proofErr w:type="spellEnd"/>
      <w:r w:rsidRPr="00CF5C49">
        <w:rPr>
          <w:rFonts w:ascii="Gill Sans MT" w:hAnsi="Gill Sans MT"/>
          <w:sz w:val="22"/>
          <w:lang w:eastAsia="en-AU"/>
        </w:rPr>
        <w:t xml:space="preserve"> program</w:t>
      </w:r>
      <w:r>
        <w:rPr>
          <w:rFonts w:ascii="Gill Sans MT" w:hAnsi="Gill Sans MT"/>
          <w:sz w:val="22"/>
          <w:lang w:eastAsia="en-AU"/>
        </w:rPr>
        <w:t>.</w:t>
      </w:r>
    </w:p>
    <w:p w14:paraId="614F4CB8" w14:textId="7BC4371B" w:rsidR="004928DB" w:rsidRPr="00C2338D" w:rsidRDefault="004928DB" w:rsidP="00FA0EC1">
      <w:pPr>
        <w:pStyle w:val="NormalWeb"/>
        <w:widowControl w:val="0"/>
        <w:numPr>
          <w:ilvl w:val="0"/>
          <w:numId w:val="39"/>
        </w:numPr>
        <w:tabs>
          <w:tab w:val="clear" w:pos="567"/>
        </w:tabs>
        <w:spacing w:line="280" w:lineRule="atLeast"/>
        <w:ind w:left="426" w:hanging="426"/>
        <w:rPr>
          <w:rFonts w:ascii="Gill Sans MT" w:hAnsi="Gill Sans MT"/>
          <w:sz w:val="22"/>
        </w:rPr>
      </w:pPr>
      <w:r w:rsidRPr="00C2338D">
        <w:rPr>
          <w:rFonts w:ascii="Gill Sans MT" w:hAnsi="Gill Sans MT"/>
          <w:sz w:val="22"/>
        </w:rPr>
        <w:t>The first live-in drug and alcohol facility in the Tasmania Prison Service was officially opened in July 2015.  The Alcohol and Drug Treatment Unit</w:t>
      </w:r>
      <w:r w:rsidR="004769C8">
        <w:rPr>
          <w:rFonts w:ascii="Gill Sans MT" w:hAnsi="Gill Sans MT"/>
          <w:sz w:val="22"/>
        </w:rPr>
        <w:t>, the Apsley Program,</w:t>
      </w:r>
      <w:r w:rsidRPr="00C2338D">
        <w:rPr>
          <w:rFonts w:ascii="Gill Sans MT" w:hAnsi="Gill Sans MT"/>
          <w:sz w:val="22"/>
        </w:rPr>
        <w:t xml:space="preserve"> offers prisoners a live-in program </w:t>
      </w:r>
      <w:r w:rsidR="004769C8">
        <w:rPr>
          <w:rFonts w:ascii="Gill Sans MT" w:hAnsi="Gill Sans MT"/>
          <w:sz w:val="22"/>
        </w:rPr>
        <w:t xml:space="preserve">for up to 10 participants </w:t>
      </w:r>
      <w:r w:rsidRPr="00C2338D">
        <w:rPr>
          <w:rFonts w:ascii="Gill Sans MT" w:hAnsi="Gill Sans MT"/>
          <w:sz w:val="22"/>
        </w:rPr>
        <w:t>which will address the biological, psychological and social triggers of an individual’s addictive behaviour to help address drug and alcohol use.</w:t>
      </w:r>
    </w:p>
    <w:p w14:paraId="3A3F1592" w14:textId="77777777" w:rsidR="00155E71" w:rsidRPr="00155E71" w:rsidRDefault="00155E71" w:rsidP="00FA0EC1">
      <w:pPr>
        <w:tabs>
          <w:tab w:val="clear" w:pos="567"/>
        </w:tabs>
        <w:spacing w:line="280" w:lineRule="atLeast"/>
        <w:rPr>
          <w:i/>
        </w:rPr>
      </w:pPr>
      <w:r w:rsidRPr="00155E71">
        <w:rPr>
          <w:i/>
        </w:rPr>
        <w:t>Court Mandated Diversion Program (CMD)</w:t>
      </w:r>
    </w:p>
    <w:p w14:paraId="212B5D01" w14:textId="77777777" w:rsidR="00FD56CF" w:rsidRDefault="00FD56CF" w:rsidP="00FA0EC1">
      <w:pPr>
        <w:numPr>
          <w:ilvl w:val="0"/>
          <w:numId w:val="50"/>
        </w:numPr>
        <w:tabs>
          <w:tab w:val="clear" w:pos="567"/>
        </w:tabs>
        <w:spacing w:line="280" w:lineRule="atLeast"/>
        <w:ind w:left="426" w:hanging="426"/>
      </w:pPr>
      <w:r w:rsidRPr="00FD56CF">
        <w:t xml:space="preserve">The </w:t>
      </w:r>
      <w:r w:rsidR="00155E71">
        <w:t>CMD</w:t>
      </w:r>
      <w:r w:rsidRPr="00FD56CF">
        <w:t xml:space="preserve"> works with offenders whose risk of re-offending is addressed by treating their substance </w:t>
      </w:r>
      <w:r w:rsidR="00155E71">
        <w:t>use</w:t>
      </w:r>
      <w:r w:rsidRPr="00FD56CF">
        <w:t xml:space="preserve"> issues in the community as an alternative to imprisonment.</w:t>
      </w:r>
      <w:r w:rsidR="00155E71">
        <w:t xml:space="preserve"> </w:t>
      </w:r>
      <w:r w:rsidRPr="00FD56CF">
        <w:t>Program participants are required to attend frequent urinalysis testing, individual counselling sessions, group counselling, as well as weekly appointments with their allocated Court Diversion Officer.</w:t>
      </w:r>
      <w:r w:rsidR="00155E71">
        <w:t xml:space="preserve"> </w:t>
      </w:r>
      <w:r w:rsidRPr="00FD56CF">
        <w:t xml:space="preserve">Sanctions such as short periods of imprisonment or </w:t>
      </w:r>
      <w:r w:rsidRPr="00155E71">
        <w:rPr>
          <w:shd w:val="clear" w:color="auto" w:fill="FFFFFF" w:themeFill="background1"/>
        </w:rPr>
        <w:t>community service work,</w:t>
      </w:r>
      <w:r w:rsidRPr="00FD56CF">
        <w:t xml:space="preserve"> may be imposed by the Court if an offender fails to comply with treatment or conditions of their Order. Offenders can be on the program for up to two years and can be sentenced in both the Magistrates and Supreme Courts.</w:t>
      </w:r>
    </w:p>
    <w:p w14:paraId="179BB679" w14:textId="77777777" w:rsidR="00155E71" w:rsidRPr="00394DDC" w:rsidRDefault="00155E71" w:rsidP="00FA0EC1">
      <w:pPr>
        <w:pStyle w:val="ListParagraph"/>
        <w:numPr>
          <w:ilvl w:val="0"/>
          <w:numId w:val="51"/>
        </w:numPr>
        <w:spacing w:before="0" w:after="140" w:line="280" w:lineRule="atLeast"/>
        <w:ind w:left="426" w:hanging="426"/>
        <w:contextualSpacing w:val="0"/>
        <w:rPr>
          <w:rFonts w:ascii="Gill Sans MT" w:hAnsi="Gill Sans MT"/>
          <w:sz w:val="22"/>
        </w:rPr>
      </w:pPr>
      <w:r w:rsidRPr="00155E71">
        <w:rPr>
          <w:rFonts w:ascii="Gill Sans MT" w:hAnsi="Gill Sans MT"/>
          <w:sz w:val="22"/>
        </w:rPr>
        <w:t xml:space="preserve">The program was originally funded by the Commonwealth and was capped at 80 places across the State. </w:t>
      </w:r>
      <w:r w:rsidRPr="00394DDC">
        <w:rPr>
          <w:rFonts w:ascii="Gill Sans MT" w:hAnsi="Gill Sans MT"/>
          <w:sz w:val="22"/>
        </w:rPr>
        <w:t xml:space="preserve">The 2017-2018 State Budget provided funds to increase the placement cap to 120 places.  </w:t>
      </w:r>
    </w:p>
    <w:p w14:paraId="4BB401E5" w14:textId="77777777" w:rsidR="00394DDC" w:rsidRPr="00394DDC" w:rsidRDefault="00394DDC" w:rsidP="00FA0EC1">
      <w:pPr>
        <w:numPr>
          <w:ilvl w:val="0"/>
          <w:numId w:val="51"/>
        </w:numPr>
        <w:tabs>
          <w:tab w:val="clear" w:pos="567"/>
        </w:tabs>
        <w:spacing w:line="280" w:lineRule="atLeast"/>
        <w:ind w:left="426" w:hanging="426"/>
      </w:pPr>
      <w:r w:rsidRPr="00394DDC">
        <w:t xml:space="preserve">Court Diversion Officer work consists of case management plus the completion of assessments for suitability to join the program.  Officers also provide regular progress reports to courts overseeing orders and participate in regular court reviews for each participant.  </w:t>
      </w:r>
    </w:p>
    <w:p w14:paraId="53B98209" w14:textId="77777777" w:rsidR="00155E71" w:rsidRPr="00155E71" w:rsidRDefault="00394DDC" w:rsidP="00FA0EC1">
      <w:pPr>
        <w:numPr>
          <w:ilvl w:val="0"/>
          <w:numId w:val="51"/>
        </w:numPr>
        <w:tabs>
          <w:tab w:val="clear" w:pos="567"/>
        </w:tabs>
        <w:spacing w:line="280" w:lineRule="atLeast"/>
        <w:ind w:left="426" w:hanging="426"/>
      </w:pPr>
      <w:r w:rsidRPr="00394DDC">
        <w:lastRenderedPageBreak/>
        <w:t>The preferred maximum caseload including assessments is 10 offenders per Court Diversion Officer.  Due to the lower workload involved with assessments, this number is sometimes exceeded when high numbers of assessments are requested.</w:t>
      </w:r>
      <w:r>
        <w:t xml:space="preserve">  Current numbers are:</w:t>
      </w:r>
    </w:p>
    <w:tbl>
      <w:tblPr>
        <w:tblW w:w="8788" w:type="dxa"/>
        <w:jc w:val="center"/>
        <w:tblCellMar>
          <w:left w:w="0" w:type="dxa"/>
          <w:right w:w="0" w:type="dxa"/>
        </w:tblCellMar>
        <w:tblLook w:val="04A0" w:firstRow="1" w:lastRow="0" w:firstColumn="1" w:lastColumn="0" w:noHBand="0" w:noVBand="1"/>
      </w:tblPr>
      <w:tblGrid>
        <w:gridCol w:w="1870"/>
        <w:gridCol w:w="1870"/>
        <w:gridCol w:w="1870"/>
        <w:gridCol w:w="1870"/>
        <w:gridCol w:w="1308"/>
      </w:tblGrid>
      <w:tr w:rsidR="00155E71" w:rsidRPr="00E47A8A" w14:paraId="2D23C4AC" w14:textId="77777777" w:rsidTr="001B65C6">
        <w:trPr>
          <w:tblHeader/>
          <w:jc w:val="center"/>
        </w:trPr>
        <w:tc>
          <w:tcPr>
            <w:tcW w:w="18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BE76ED" w14:textId="77777777" w:rsidR="00155E71" w:rsidRPr="00155E71" w:rsidRDefault="00155E71" w:rsidP="003E4CAD">
            <w:pPr>
              <w:spacing w:before="60" w:after="60" w:line="240" w:lineRule="auto"/>
              <w:rPr>
                <w:b/>
                <w:bCs/>
                <w:color w:val="000000"/>
              </w:rPr>
            </w:pPr>
            <w:r w:rsidRPr="00155E71">
              <w:rPr>
                <w:b/>
                <w:bCs/>
                <w:color w:val="000000"/>
              </w:rPr>
              <w:t>Region</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E52BE7" w14:textId="77777777" w:rsidR="00155E71" w:rsidRPr="00E47A8A" w:rsidRDefault="00155E71" w:rsidP="003E4CAD">
            <w:pPr>
              <w:spacing w:before="60" w:after="60" w:line="240" w:lineRule="auto"/>
              <w:rPr>
                <w:b/>
                <w:bCs/>
                <w:color w:val="000000"/>
              </w:rPr>
            </w:pPr>
            <w:r w:rsidRPr="00E47A8A">
              <w:rPr>
                <w:b/>
                <w:bCs/>
                <w:color w:val="000000"/>
              </w:rPr>
              <w:t>Orders</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D21389" w14:textId="77777777" w:rsidR="00155E71" w:rsidRPr="00E47A8A" w:rsidRDefault="00155E71" w:rsidP="003E4CAD">
            <w:pPr>
              <w:spacing w:before="60" w:after="60" w:line="240" w:lineRule="auto"/>
              <w:rPr>
                <w:b/>
                <w:bCs/>
                <w:color w:val="000000"/>
              </w:rPr>
            </w:pPr>
            <w:r w:rsidRPr="00E47A8A">
              <w:rPr>
                <w:b/>
                <w:bCs/>
                <w:color w:val="000000"/>
              </w:rPr>
              <w:t>Assessment Requests</w:t>
            </w:r>
          </w:p>
        </w:tc>
        <w:tc>
          <w:tcPr>
            <w:tcW w:w="18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4447B5" w14:textId="77777777" w:rsidR="00155E71" w:rsidRPr="00E47A8A" w:rsidRDefault="00155E71" w:rsidP="003E4CAD">
            <w:pPr>
              <w:spacing w:before="60" w:after="60" w:line="240" w:lineRule="auto"/>
              <w:rPr>
                <w:b/>
                <w:bCs/>
                <w:color w:val="000000"/>
              </w:rPr>
            </w:pPr>
            <w:r w:rsidRPr="00E47A8A">
              <w:rPr>
                <w:b/>
                <w:bCs/>
                <w:color w:val="000000"/>
              </w:rPr>
              <w:t>Total Caseload</w:t>
            </w:r>
          </w:p>
        </w:tc>
        <w:tc>
          <w:tcPr>
            <w:tcW w:w="13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7FDBE4" w14:textId="77777777" w:rsidR="00155E71" w:rsidRPr="00E47A8A" w:rsidRDefault="00155E71" w:rsidP="003E4CAD">
            <w:pPr>
              <w:spacing w:before="60" w:after="60" w:line="240" w:lineRule="auto"/>
              <w:rPr>
                <w:b/>
                <w:bCs/>
                <w:color w:val="000000"/>
              </w:rPr>
            </w:pPr>
            <w:r w:rsidRPr="00E47A8A">
              <w:rPr>
                <w:b/>
                <w:bCs/>
                <w:color w:val="000000"/>
              </w:rPr>
              <w:t>Program Cap</w:t>
            </w:r>
          </w:p>
        </w:tc>
      </w:tr>
      <w:tr w:rsidR="00155E71" w:rsidRPr="00E47A8A" w14:paraId="2F878BDE" w14:textId="77777777" w:rsidTr="00891761">
        <w:trPr>
          <w:jc w:val="center"/>
        </w:trPr>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3CC44A" w14:textId="77777777" w:rsidR="00155E71" w:rsidRPr="00E47A8A" w:rsidRDefault="00155E71" w:rsidP="003E4CAD">
            <w:pPr>
              <w:spacing w:before="60" w:after="60" w:line="240" w:lineRule="auto"/>
              <w:rPr>
                <w:color w:val="000000"/>
              </w:rPr>
            </w:pPr>
            <w:r w:rsidRPr="00E47A8A">
              <w:rPr>
                <w:color w:val="000000"/>
              </w:rPr>
              <w:t>South</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46432180" w14:textId="77777777" w:rsidR="00155E71" w:rsidRPr="00E47A8A" w:rsidRDefault="00155E71" w:rsidP="003E4CAD">
            <w:pPr>
              <w:spacing w:before="60" w:after="60" w:line="240" w:lineRule="auto"/>
              <w:rPr>
                <w:color w:val="000000"/>
              </w:rPr>
            </w:pPr>
            <w:r>
              <w:rPr>
                <w:color w:val="000000"/>
              </w:rPr>
              <w:t xml:space="preserve">35 </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18690471" w14:textId="77777777" w:rsidR="00155E71" w:rsidRPr="00E47A8A" w:rsidRDefault="00155E71" w:rsidP="003E4CAD">
            <w:pPr>
              <w:spacing w:before="60" w:after="60" w:line="240" w:lineRule="auto"/>
              <w:rPr>
                <w:color w:val="000000"/>
              </w:rPr>
            </w:pPr>
            <w:r>
              <w:rPr>
                <w:color w:val="000000"/>
              </w:rPr>
              <w:t>9</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0FDC2DD5" w14:textId="77777777" w:rsidR="00155E71" w:rsidRPr="00E47A8A" w:rsidRDefault="00155E71" w:rsidP="003E4CAD">
            <w:pPr>
              <w:spacing w:before="60" w:after="60" w:line="240" w:lineRule="auto"/>
              <w:rPr>
                <w:color w:val="000000"/>
              </w:rPr>
            </w:pPr>
            <w:r>
              <w:rPr>
                <w:color w:val="000000"/>
              </w:rPr>
              <w:t>44</w:t>
            </w: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14:paraId="0CD7027F" w14:textId="77777777" w:rsidR="00155E71" w:rsidRPr="00E47A8A" w:rsidRDefault="00155E71" w:rsidP="003E4CAD">
            <w:pPr>
              <w:spacing w:before="60" w:after="60" w:line="240" w:lineRule="auto"/>
              <w:rPr>
                <w:color w:val="000000"/>
              </w:rPr>
            </w:pPr>
            <w:r w:rsidRPr="00E47A8A">
              <w:rPr>
                <w:color w:val="000000"/>
              </w:rPr>
              <w:t>45</w:t>
            </w:r>
          </w:p>
        </w:tc>
      </w:tr>
      <w:tr w:rsidR="00155E71" w:rsidRPr="00E47A8A" w14:paraId="67D9A2DB" w14:textId="77777777" w:rsidTr="00891761">
        <w:trPr>
          <w:jc w:val="center"/>
        </w:trPr>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D934B" w14:textId="77777777" w:rsidR="00155E71" w:rsidRPr="00E47A8A" w:rsidRDefault="00155E71" w:rsidP="003E4CAD">
            <w:pPr>
              <w:spacing w:before="60" w:after="60" w:line="240" w:lineRule="auto"/>
              <w:rPr>
                <w:color w:val="000000"/>
              </w:rPr>
            </w:pPr>
            <w:r w:rsidRPr="00E47A8A">
              <w:rPr>
                <w:color w:val="000000"/>
              </w:rPr>
              <w:t>North</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69D8A7AB" w14:textId="77777777" w:rsidR="00155E71" w:rsidRPr="00E47A8A" w:rsidRDefault="00155E71" w:rsidP="003E4CAD">
            <w:pPr>
              <w:spacing w:before="60" w:after="60" w:line="240" w:lineRule="auto"/>
              <w:rPr>
                <w:color w:val="000000"/>
              </w:rPr>
            </w:pPr>
            <w:r>
              <w:rPr>
                <w:color w:val="000000"/>
              </w:rPr>
              <w:t>37</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37A53C0A" w14:textId="77777777" w:rsidR="00155E71" w:rsidRPr="00E47A8A" w:rsidRDefault="00155E71" w:rsidP="003E4CAD">
            <w:pPr>
              <w:spacing w:before="60" w:after="60" w:line="240" w:lineRule="auto"/>
              <w:rPr>
                <w:color w:val="000000"/>
              </w:rPr>
            </w:pPr>
            <w:r>
              <w:rPr>
                <w:color w:val="000000"/>
              </w:rPr>
              <w:t>17</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58FD1B35" w14:textId="77777777" w:rsidR="00155E71" w:rsidRPr="00E47A8A" w:rsidRDefault="00155E71" w:rsidP="003E4CAD">
            <w:pPr>
              <w:spacing w:before="60" w:after="60" w:line="240" w:lineRule="auto"/>
              <w:rPr>
                <w:color w:val="000000"/>
              </w:rPr>
            </w:pPr>
            <w:r>
              <w:rPr>
                <w:color w:val="000000"/>
              </w:rPr>
              <w:t>54</w:t>
            </w: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14:paraId="0109965A" w14:textId="77777777" w:rsidR="00155E71" w:rsidRPr="00E47A8A" w:rsidRDefault="00155E71" w:rsidP="003E4CAD">
            <w:pPr>
              <w:spacing w:before="60" w:after="60" w:line="240" w:lineRule="auto"/>
              <w:rPr>
                <w:color w:val="000000"/>
              </w:rPr>
            </w:pPr>
            <w:r w:rsidRPr="00E47A8A">
              <w:rPr>
                <w:color w:val="000000"/>
              </w:rPr>
              <w:t>40</w:t>
            </w:r>
          </w:p>
        </w:tc>
      </w:tr>
      <w:tr w:rsidR="00155E71" w:rsidRPr="00E47A8A" w14:paraId="17582AAE" w14:textId="77777777" w:rsidTr="00891761">
        <w:trPr>
          <w:jc w:val="center"/>
        </w:trPr>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499330" w14:textId="77777777" w:rsidR="00155E71" w:rsidRPr="00E47A8A" w:rsidRDefault="00155E71" w:rsidP="003E4CAD">
            <w:pPr>
              <w:spacing w:before="60" w:after="60" w:line="240" w:lineRule="auto"/>
              <w:rPr>
                <w:color w:val="000000"/>
              </w:rPr>
            </w:pPr>
            <w:r w:rsidRPr="00E47A8A">
              <w:rPr>
                <w:color w:val="000000"/>
              </w:rPr>
              <w:t>North West</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58A05F65" w14:textId="77777777" w:rsidR="00155E71" w:rsidRPr="00E47A8A" w:rsidRDefault="00155E71" w:rsidP="003E4CAD">
            <w:pPr>
              <w:spacing w:before="60" w:after="60" w:line="240" w:lineRule="auto"/>
              <w:rPr>
                <w:color w:val="000000"/>
              </w:rPr>
            </w:pPr>
            <w:r>
              <w:rPr>
                <w:color w:val="000000"/>
              </w:rPr>
              <w:t>22</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1B78800F" w14:textId="77777777" w:rsidR="00155E71" w:rsidRPr="00E47A8A" w:rsidRDefault="00155E71" w:rsidP="003E4CAD">
            <w:pPr>
              <w:spacing w:before="60" w:after="60" w:line="240" w:lineRule="auto"/>
              <w:rPr>
                <w:color w:val="000000"/>
              </w:rPr>
            </w:pPr>
            <w:r>
              <w:rPr>
                <w:color w:val="000000"/>
              </w:rPr>
              <w:t>9</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78D5752B" w14:textId="77777777" w:rsidR="00155E71" w:rsidRPr="00E47A8A" w:rsidRDefault="00155E71" w:rsidP="003E4CAD">
            <w:pPr>
              <w:spacing w:before="60" w:after="60" w:line="240" w:lineRule="auto"/>
              <w:rPr>
                <w:color w:val="000000"/>
              </w:rPr>
            </w:pPr>
            <w:r>
              <w:rPr>
                <w:color w:val="000000"/>
              </w:rPr>
              <w:t>31</w:t>
            </w: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14:paraId="2FFCFBE4" w14:textId="77777777" w:rsidR="00155E71" w:rsidRPr="00E47A8A" w:rsidRDefault="00155E71" w:rsidP="003E4CAD">
            <w:pPr>
              <w:spacing w:before="60" w:after="60" w:line="240" w:lineRule="auto"/>
              <w:rPr>
                <w:color w:val="000000"/>
              </w:rPr>
            </w:pPr>
            <w:r w:rsidRPr="00E47A8A">
              <w:rPr>
                <w:color w:val="000000"/>
              </w:rPr>
              <w:t>35</w:t>
            </w:r>
          </w:p>
        </w:tc>
      </w:tr>
      <w:tr w:rsidR="00155E71" w:rsidRPr="00E47A8A" w14:paraId="0787F16A" w14:textId="77777777" w:rsidTr="00891761">
        <w:trPr>
          <w:jc w:val="center"/>
        </w:trPr>
        <w:tc>
          <w:tcPr>
            <w:tcW w:w="1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6A0850" w14:textId="77777777" w:rsidR="00155E71" w:rsidRPr="00E47A8A" w:rsidRDefault="00155E71" w:rsidP="003E4CAD">
            <w:pPr>
              <w:spacing w:before="60" w:after="60" w:line="240" w:lineRule="auto"/>
              <w:rPr>
                <w:b/>
                <w:bCs/>
                <w:color w:val="000000"/>
              </w:rPr>
            </w:pPr>
            <w:r w:rsidRPr="00E47A8A">
              <w:rPr>
                <w:b/>
                <w:bCs/>
                <w:color w:val="000000"/>
              </w:rPr>
              <w:t>TOTAL</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7ACDBA41" w14:textId="77777777" w:rsidR="00155E71" w:rsidRPr="00E47A8A" w:rsidRDefault="00155E71" w:rsidP="003E4CAD">
            <w:pPr>
              <w:spacing w:before="60" w:after="60" w:line="240" w:lineRule="auto"/>
              <w:rPr>
                <w:color w:val="000000"/>
              </w:rPr>
            </w:pPr>
            <w:r>
              <w:rPr>
                <w:color w:val="000000"/>
              </w:rPr>
              <w:t>94</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416F3D9C" w14:textId="77777777" w:rsidR="00155E71" w:rsidRPr="00E47A8A" w:rsidRDefault="00155E71" w:rsidP="003E4CAD">
            <w:pPr>
              <w:spacing w:before="60" w:after="60" w:line="240" w:lineRule="auto"/>
              <w:rPr>
                <w:color w:val="000000"/>
              </w:rPr>
            </w:pPr>
            <w:r>
              <w:rPr>
                <w:color w:val="000000"/>
              </w:rPr>
              <w:t>35</w:t>
            </w:r>
          </w:p>
        </w:tc>
        <w:tc>
          <w:tcPr>
            <w:tcW w:w="1870" w:type="dxa"/>
            <w:tcBorders>
              <w:top w:val="nil"/>
              <w:left w:val="nil"/>
              <w:bottom w:val="single" w:sz="8" w:space="0" w:color="auto"/>
              <w:right w:val="single" w:sz="8" w:space="0" w:color="auto"/>
            </w:tcBorders>
            <w:tcMar>
              <w:top w:w="0" w:type="dxa"/>
              <w:left w:w="108" w:type="dxa"/>
              <w:bottom w:w="0" w:type="dxa"/>
              <w:right w:w="108" w:type="dxa"/>
            </w:tcMar>
            <w:hideMark/>
          </w:tcPr>
          <w:p w14:paraId="639B5606" w14:textId="77777777" w:rsidR="00155E71" w:rsidRPr="00E47A8A" w:rsidRDefault="00155E71" w:rsidP="003E4CAD">
            <w:pPr>
              <w:spacing w:before="60" w:after="60" w:line="240" w:lineRule="auto"/>
              <w:rPr>
                <w:b/>
                <w:bCs/>
                <w:color w:val="000000"/>
              </w:rPr>
            </w:pPr>
            <w:r>
              <w:rPr>
                <w:b/>
                <w:bCs/>
                <w:color w:val="000000"/>
              </w:rPr>
              <w:t>129</w:t>
            </w:r>
          </w:p>
        </w:tc>
        <w:tc>
          <w:tcPr>
            <w:tcW w:w="1308" w:type="dxa"/>
            <w:tcBorders>
              <w:top w:val="nil"/>
              <w:left w:val="nil"/>
              <w:bottom w:val="single" w:sz="8" w:space="0" w:color="auto"/>
              <w:right w:val="single" w:sz="8" w:space="0" w:color="auto"/>
            </w:tcBorders>
            <w:tcMar>
              <w:top w:w="0" w:type="dxa"/>
              <w:left w:w="108" w:type="dxa"/>
              <w:bottom w:w="0" w:type="dxa"/>
              <w:right w:w="108" w:type="dxa"/>
            </w:tcMar>
            <w:hideMark/>
          </w:tcPr>
          <w:p w14:paraId="5940018A" w14:textId="77777777" w:rsidR="00155E71" w:rsidRPr="00E47A8A" w:rsidRDefault="00155E71" w:rsidP="003E4CAD">
            <w:pPr>
              <w:spacing w:before="60" w:after="60" w:line="240" w:lineRule="auto"/>
              <w:rPr>
                <w:b/>
                <w:bCs/>
                <w:color w:val="000000"/>
              </w:rPr>
            </w:pPr>
            <w:r w:rsidRPr="00E47A8A">
              <w:rPr>
                <w:b/>
                <w:bCs/>
                <w:color w:val="000000"/>
              </w:rPr>
              <w:t>120</w:t>
            </w:r>
          </w:p>
        </w:tc>
      </w:tr>
    </w:tbl>
    <w:p w14:paraId="054520AA" w14:textId="77777777" w:rsidR="00155E71" w:rsidRPr="00043B5E" w:rsidRDefault="00155E71" w:rsidP="00964180">
      <w:pPr>
        <w:rPr>
          <w:i/>
          <w:sz w:val="20"/>
          <w:szCs w:val="20"/>
          <w:lang w:eastAsia="en-AU"/>
        </w:rPr>
      </w:pPr>
      <w:r w:rsidRPr="00043B5E">
        <w:rPr>
          <w:i/>
          <w:lang w:eastAsia="en-AU"/>
        </w:rPr>
        <w:tab/>
      </w:r>
      <w:r w:rsidRPr="00043B5E">
        <w:rPr>
          <w:i/>
          <w:sz w:val="20"/>
          <w:szCs w:val="20"/>
          <w:lang w:eastAsia="en-AU"/>
        </w:rPr>
        <w:t>As at 22 August 2019</w:t>
      </w:r>
    </w:p>
    <w:p w14:paraId="4802D33A" w14:textId="77777777" w:rsidR="009A6143" w:rsidRPr="00394DDC" w:rsidRDefault="00394DDC" w:rsidP="00AD35A5">
      <w:pPr>
        <w:widowControl w:val="0"/>
        <w:numPr>
          <w:ilvl w:val="0"/>
          <w:numId w:val="50"/>
        </w:numPr>
        <w:tabs>
          <w:tab w:val="clear" w:pos="567"/>
        </w:tabs>
        <w:spacing w:line="280" w:lineRule="atLeast"/>
        <w:ind w:left="425" w:hanging="425"/>
      </w:pPr>
      <w:r>
        <w:t>C</w:t>
      </w:r>
      <w:r w:rsidR="00155E71" w:rsidRPr="00394DDC">
        <w:t xml:space="preserve">hanges to the </w:t>
      </w:r>
      <w:r w:rsidR="009A6143" w:rsidRPr="00394DDC">
        <w:rPr>
          <w:i/>
        </w:rPr>
        <w:t>Sentencing Act 1997</w:t>
      </w:r>
      <w:r w:rsidR="009A6143" w:rsidRPr="00394DDC">
        <w:t xml:space="preserve"> to allow offenders who appear before the Supreme Court and whose offending is linked to illicit drug use to be eligible for </w:t>
      </w:r>
      <w:r w:rsidR="00155E71" w:rsidRPr="00394DDC">
        <w:t>CMD</w:t>
      </w:r>
      <w:r>
        <w:t xml:space="preserve"> commenced in February 2017</w:t>
      </w:r>
      <w:r w:rsidR="009A6143" w:rsidRPr="00394DDC">
        <w:t xml:space="preserve">.  These legislative amendments make more people eligible for the program and widen the pool of those who can be treated for illicit drug use.  </w:t>
      </w:r>
    </w:p>
    <w:p w14:paraId="2F6E3E20" w14:textId="5061AD60" w:rsidR="009A6143" w:rsidRDefault="00394DDC" w:rsidP="00AD35A5">
      <w:pPr>
        <w:pStyle w:val="ListParagraph"/>
        <w:widowControl w:val="0"/>
        <w:numPr>
          <w:ilvl w:val="0"/>
          <w:numId w:val="50"/>
        </w:numPr>
        <w:spacing w:before="0" w:after="140" w:line="280" w:lineRule="atLeast"/>
        <w:ind w:left="425" w:hanging="425"/>
        <w:contextualSpacing w:val="0"/>
        <w:jc w:val="left"/>
        <w:rPr>
          <w:rFonts w:ascii="Gill Sans MT" w:hAnsi="Gill Sans MT"/>
          <w:sz w:val="22"/>
        </w:rPr>
      </w:pPr>
      <w:r w:rsidRPr="00394DDC">
        <w:rPr>
          <w:rFonts w:ascii="Gill Sans MT" w:hAnsi="Gill Sans MT"/>
          <w:sz w:val="22"/>
        </w:rPr>
        <w:t xml:space="preserve">To 22 August 2019, 21 </w:t>
      </w:r>
      <w:r w:rsidR="00B542EE">
        <w:rPr>
          <w:rFonts w:ascii="Gill Sans MT" w:hAnsi="Gill Sans MT"/>
          <w:sz w:val="22"/>
        </w:rPr>
        <w:t>o</w:t>
      </w:r>
      <w:r w:rsidRPr="00394DDC">
        <w:rPr>
          <w:rFonts w:ascii="Gill Sans MT" w:hAnsi="Gill Sans MT"/>
          <w:sz w:val="22"/>
        </w:rPr>
        <w:t>rders had been imposed by the Supreme Court around the State (</w:t>
      </w:r>
      <w:r w:rsidR="003E4CAD">
        <w:rPr>
          <w:rFonts w:ascii="Gill Sans MT" w:hAnsi="Gill Sans MT"/>
          <w:sz w:val="22"/>
        </w:rPr>
        <w:t>7</w:t>
      </w:r>
      <w:r w:rsidRPr="00394DDC">
        <w:rPr>
          <w:rFonts w:ascii="Gill Sans MT" w:hAnsi="Gill Sans MT"/>
          <w:sz w:val="22"/>
        </w:rPr>
        <w:t xml:space="preserve"> in the south, </w:t>
      </w:r>
      <w:r w:rsidR="003E4CAD">
        <w:rPr>
          <w:rFonts w:ascii="Gill Sans MT" w:hAnsi="Gill Sans MT"/>
          <w:sz w:val="22"/>
        </w:rPr>
        <w:t>9</w:t>
      </w:r>
      <w:r w:rsidRPr="00394DDC">
        <w:rPr>
          <w:rFonts w:ascii="Gill Sans MT" w:hAnsi="Gill Sans MT"/>
          <w:sz w:val="22"/>
        </w:rPr>
        <w:t xml:space="preserve"> in the north and </w:t>
      </w:r>
      <w:r w:rsidR="003E4CAD">
        <w:rPr>
          <w:rFonts w:ascii="Gill Sans MT" w:hAnsi="Gill Sans MT"/>
          <w:sz w:val="22"/>
        </w:rPr>
        <w:t>5</w:t>
      </w:r>
      <w:r w:rsidRPr="00394DDC">
        <w:rPr>
          <w:rFonts w:ascii="Gill Sans MT" w:hAnsi="Gill Sans MT"/>
          <w:sz w:val="22"/>
        </w:rPr>
        <w:t xml:space="preserve"> in the northwest).  Although these Orders are imposed in the Supreme Court, their ongoing review is undertaken in the Magistrates’ Court.  </w:t>
      </w:r>
    </w:p>
    <w:p w14:paraId="4E45266C" w14:textId="7CAD93B8" w:rsidR="00AD35A5" w:rsidRPr="00AD35A5" w:rsidRDefault="00AD35A5" w:rsidP="00AD35A5">
      <w:pPr>
        <w:widowControl w:val="0"/>
        <w:spacing w:line="280" w:lineRule="atLeast"/>
        <w:rPr>
          <w:i/>
        </w:rPr>
      </w:pPr>
      <w:r w:rsidRPr="00AD35A5">
        <w:rPr>
          <w:i/>
        </w:rPr>
        <w:t>Government funded treatment services</w:t>
      </w:r>
    </w:p>
    <w:p w14:paraId="2FB534C1" w14:textId="5CE6D282" w:rsidR="00AD35A5" w:rsidRPr="00AD35A5" w:rsidRDefault="00AD35A5" w:rsidP="00AC2E57">
      <w:pPr>
        <w:pStyle w:val="ListParagraph"/>
        <w:widowControl w:val="0"/>
        <w:numPr>
          <w:ilvl w:val="0"/>
          <w:numId w:val="50"/>
        </w:numPr>
        <w:tabs>
          <w:tab w:val="left" w:pos="1110"/>
        </w:tabs>
        <w:spacing w:before="0" w:after="140" w:line="280" w:lineRule="atLeast"/>
        <w:ind w:left="425" w:hanging="425"/>
        <w:contextualSpacing w:val="0"/>
        <w:rPr>
          <w:rFonts w:ascii="Gill Sans MT" w:hAnsi="Gill Sans MT"/>
          <w:sz w:val="22"/>
        </w:rPr>
      </w:pPr>
      <w:r w:rsidRPr="00AD35A5">
        <w:rPr>
          <w:rFonts w:ascii="Gill Sans MT" w:hAnsi="Gill Sans MT"/>
          <w:sz w:val="22"/>
        </w:rPr>
        <w:t xml:space="preserve">A range of Government and non-Government </w:t>
      </w:r>
      <w:r w:rsidR="00F211D9">
        <w:rPr>
          <w:rFonts w:ascii="Gill Sans MT" w:hAnsi="Gill Sans MT"/>
          <w:sz w:val="22"/>
        </w:rPr>
        <w:t xml:space="preserve">specialist </w:t>
      </w:r>
      <w:r w:rsidRPr="00AD35A5">
        <w:rPr>
          <w:rFonts w:ascii="Gill Sans MT" w:hAnsi="Gill Sans MT"/>
          <w:sz w:val="22"/>
        </w:rPr>
        <w:t xml:space="preserve">alcohol, tobacco and other drug treatment services are provided across Tasmania. </w:t>
      </w:r>
    </w:p>
    <w:p w14:paraId="3919D86B" w14:textId="62871FFC" w:rsidR="00AD35A5" w:rsidRPr="00AD35A5" w:rsidRDefault="00AD35A5" w:rsidP="00AC2E57">
      <w:pPr>
        <w:pStyle w:val="ListParagraph"/>
        <w:widowControl w:val="0"/>
        <w:numPr>
          <w:ilvl w:val="0"/>
          <w:numId w:val="50"/>
        </w:numPr>
        <w:tabs>
          <w:tab w:val="left" w:pos="1110"/>
        </w:tabs>
        <w:spacing w:before="0" w:after="140" w:line="280" w:lineRule="atLeast"/>
        <w:ind w:left="425" w:hanging="425"/>
        <w:contextualSpacing w:val="0"/>
        <w:rPr>
          <w:rFonts w:ascii="Gill Sans MT" w:hAnsi="Gill Sans MT"/>
          <w:sz w:val="22"/>
        </w:rPr>
      </w:pPr>
      <w:proofErr w:type="spellStart"/>
      <w:r w:rsidRPr="00AD35A5">
        <w:rPr>
          <w:rFonts w:ascii="Gill Sans MT" w:hAnsi="Gill Sans MT"/>
          <w:sz w:val="22"/>
        </w:rPr>
        <w:t>Organisations</w:t>
      </w:r>
      <w:proofErr w:type="spellEnd"/>
      <w:r w:rsidRPr="00AD35A5">
        <w:rPr>
          <w:rFonts w:ascii="Gill Sans MT" w:hAnsi="Gill Sans MT"/>
          <w:sz w:val="22"/>
        </w:rPr>
        <w:t xml:space="preserve"> and purpose of funding is </w:t>
      </w:r>
      <w:proofErr w:type="spellStart"/>
      <w:r w:rsidRPr="00AD35A5">
        <w:rPr>
          <w:rFonts w:ascii="Gill Sans MT" w:hAnsi="Gill Sans MT"/>
          <w:sz w:val="22"/>
        </w:rPr>
        <w:t>summarised</w:t>
      </w:r>
      <w:proofErr w:type="spellEnd"/>
      <w:r w:rsidRPr="00AD35A5">
        <w:rPr>
          <w:rFonts w:ascii="Gill Sans MT" w:hAnsi="Gill Sans MT"/>
          <w:sz w:val="22"/>
        </w:rPr>
        <w:t xml:space="preserve"> in the table below:</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3051"/>
        <w:gridCol w:w="3507"/>
        <w:gridCol w:w="2582"/>
      </w:tblGrid>
      <w:tr w:rsidR="00AD35A5" w:rsidRPr="00610E07" w14:paraId="10FC64FE" w14:textId="77777777" w:rsidTr="001B65C6">
        <w:trPr>
          <w:tblHeader/>
          <w:jc w:val="center"/>
        </w:trPr>
        <w:tc>
          <w:tcPr>
            <w:tcW w:w="3051" w:type="dxa"/>
            <w:shd w:val="clear" w:color="auto" w:fill="D9D9D9" w:themeFill="background1" w:themeFillShade="D9"/>
          </w:tcPr>
          <w:p w14:paraId="2F905637" w14:textId="77777777" w:rsidR="00AD35A5" w:rsidRPr="00610E07" w:rsidRDefault="00AD35A5" w:rsidP="00AD35A5">
            <w:pPr>
              <w:widowControl w:val="0"/>
              <w:tabs>
                <w:tab w:val="left" w:pos="1110"/>
              </w:tabs>
              <w:spacing w:after="0" w:line="240" w:lineRule="auto"/>
              <w:rPr>
                <w:b/>
                <w:sz w:val="20"/>
                <w:szCs w:val="20"/>
              </w:rPr>
            </w:pPr>
            <w:r w:rsidRPr="00610E07">
              <w:rPr>
                <w:b/>
                <w:sz w:val="20"/>
                <w:szCs w:val="20"/>
              </w:rPr>
              <w:t>Organisation</w:t>
            </w:r>
          </w:p>
        </w:tc>
        <w:tc>
          <w:tcPr>
            <w:tcW w:w="3507" w:type="dxa"/>
            <w:shd w:val="clear" w:color="auto" w:fill="D9D9D9" w:themeFill="background1" w:themeFillShade="D9"/>
          </w:tcPr>
          <w:p w14:paraId="4F48518C" w14:textId="77777777" w:rsidR="00AD35A5" w:rsidRPr="00610E07" w:rsidRDefault="00AD35A5" w:rsidP="00AD35A5">
            <w:pPr>
              <w:widowControl w:val="0"/>
              <w:tabs>
                <w:tab w:val="left" w:pos="1110"/>
              </w:tabs>
              <w:spacing w:after="0" w:line="240" w:lineRule="auto"/>
              <w:rPr>
                <w:b/>
                <w:sz w:val="20"/>
                <w:szCs w:val="20"/>
              </w:rPr>
            </w:pPr>
            <w:r w:rsidRPr="00610E07">
              <w:rPr>
                <w:b/>
                <w:sz w:val="20"/>
                <w:szCs w:val="20"/>
              </w:rPr>
              <w:t>Purpose of funding</w:t>
            </w:r>
          </w:p>
        </w:tc>
        <w:tc>
          <w:tcPr>
            <w:tcW w:w="2582" w:type="dxa"/>
            <w:shd w:val="clear" w:color="auto" w:fill="D9D9D9" w:themeFill="background1" w:themeFillShade="D9"/>
          </w:tcPr>
          <w:p w14:paraId="246D5256" w14:textId="77777777" w:rsidR="00AD35A5" w:rsidRPr="00610E07" w:rsidRDefault="00AD35A5" w:rsidP="00AD35A5">
            <w:pPr>
              <w:widowControl w:val="0"/>
              <w:tabs>
                <w:tab w:val="left" w:pos="1110"/>
              </w:tabs>
              <w:spacing w:after="0" w:line="240" w:lineRule="auto"/>
              <w:rPr>
                <w:b/>
                <w:sz w:val="20"/>
                <w:szCs w:val="20"/>
              </w:rPr>
            </w:pPr>
            <w:r w:rsidRPr="00610E07">
              <w:rPr>
                <w:b/>
                <w:sz w:val="20"/>
                <w:szCs w:val="20"/>
              </w:rPr>
              <w:t>Location of services</w:t>
            </w:r>
          </w:p>
        </w:tc>
      </w:tr>
      <w:tr w:rsidR="00AD35A5" w:rsidRPr="000A7D31" w14:paraId="361940F3" w14:textId="77777777" w:rsidTr="00B03490">
        <w:trPr>
          <w:jc w:val="center"/>
        </w:trPr>
        <w:tc>
          <w:tcPr>
            <w:tcW w:w="3051" w:type="dxa"/>
          </w:tcPr>
          <w:p w14:paraId="3DBB1D25"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Advocacy Tasmania</w:t>
            </w:r>
          </w:p>
        </w:tc>
        <w:tc>
          <w:tcPr>
            <w:tcW w:w="3507" w:type="dxa"/>
          </w:tcPr>
          <w:p w14:paraId="4E59E91C"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 xml:space="preserve">Individual and systemic advocacy support </w:t>
            </w:r>
          </w:p>
        </w:tc>
        <w:tc>
          <w:tcPr>
            <w:tcW w:w="2582" w:type="dxa"/>
          </w:tcPr>
          <w:p w14:paraId="6A50BAC0"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Statewide</w:t>
            </w:r>
          </w:p>
        </w:tc>
      </w:tr>
      <w:tr w:rsidR="00AD35A5" w:rsidRPr="000A7D31" w14:paraId="6306199F" w14:textId="77777777" w:rsidTr="00B03490">
        <w:trPr>
          <w:jc w:val="center"/>
        </w:trPr>
        <w:tc>
          <w:tcPr>
            <w:tcW w:w="3051" w:type="dxa"/>
          </w:tcPr>
          <w:p w14:paraId="01DD8505"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Alcohol and Drug Foundation</w:t>
            </w:r>
          </w:p>
        </w:tc>
        <w:tc>
          <w:tcPr>
            <w:tcW w:w="3507" w:type="dxa"/>
          </w:tcPr>
          <w:p w14:paraId="619EE05E" w14:textId="77777777" w:rsidR="00AD35A5" w:rsidRDefault="00AD35A5" w:rsidP="00AD35A5">
            <w:pPr>
              <w:widowControl w:val="0"/>
              <w:tabs>
                <w:tab w:val="left" w:pos="1110"/>
              </w:tabs>
              <w:spacing w:after="0" w:line="240" w:lineRule="auto"/>
              <w:rPr>
                <w:sz w:val="20"/>
                <w:szCs w:val="20"/>
              </w:rPr>
            </w:pPr>
            <w:r w:rsidRPr="00A66C02">
              <w:rPr>
                <w:sz w:val="20"/>
                <w:szCs w:val="20"/>
              </w:rPr>
              <w:t xml:space="preserve">Good Sports </w:t>
            </w:r>
            <w:r w:rsidR="004657DA">
              <w:rPr>
                <w:sz w:val="20"/>
                <w:szCs w:val="20"/>
              </w:rPr>
              <w:t xml:space="preserve">and Healthy Minds </w:t>
            </w:r>
            <w:r w:rsidRPr="00A66C02">
              <w:rPr>
                <w:sz w:val="20"/>
                <w:szCs w:val="20"/>
              </w:rPr>
              <w:t>Program</w:t>
            </w:r>
            <w:r w:rsidR="004657DA">
              <w:rPr>
                <w:sz w:val="20"/>
                <w:szCs w:val="20"/>
              </w:rPr>
              <w:t>s</w:t>
            </w:r>
          </w:p>
          <w:p w14:paraId="2A44C305" w14:textId="67431153" w:rsidR="004657DA" w:rsidRPr="00A66C02" w:rsidRDefault="004657DA" w:rsidP="00AD35A5">
            <w:pPr>
              <w:widowControl w:val="0"/>
              <w:tabs>
                <w:tab w:val="left" w:pos="1110"/>
              </w:tabs>
              <w:spacing w:after="0" w:line="240" w:lineRule="auto"/>
              <w:rPr>
                <w:sz w:val="20"/>
                <w:szCs w:val="20"/>
              </w:rPr>
            </w:pPr>
            <w:r>
              <w:rPr>
                <w:sz w:val="20"/>
                <w:szCs w:val="20"/>
              </w:rPr>
              <w:t>Enhanced Good Sports</w:t>
            </w:r>
          </w:p>
        </w:tc>
        <w:tc>
          <w:tcPr>
            <w:tcW w:w="2582" w:type="dxa"/>
          </w:tcPr>
          <w:p w14:paraId="2AFA651F"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Statewide</w:t>
            </w:r>
          </w:p>
        </w:tc>
      </w:tr>
      <w:tr w:rsidR="00D61BD0" w:rsidRPr="000A7D31" w14:paraId="39226321" w14:textId="77777777" w:rsidTr="00B03490">
        <w:trPr>
          <w:jc w:val="center"/>
        </w:trPr>
        <w:tc>
          <w:tcPr>
            <w:tcW w:w="3051" w:type="dxa"/>
          </w:tcPr>
          <w:p w14:paraId="26EC6840" w14:textId="2375ED5A" w:rsidR="00D61BD0" w:rsidRPr="00A66C02" w:rsidRDefault="00D61BD0" w:rsidP="00AD35A5">
            <w:pPr>
              <w:widowControl w:val="0"/>
              <w:tabs>
                <w:tab w:val="left" w:pos="1110"/>
              </w:tabs>
              <w:spacing w:after="0" w:line="240" w:lineRule="auto"/>
              <w:rPr>
                <w:sz w:val="20"/>
                <w:szCs w:val="20"/>
              </w:rPr>
            </w:pPr>
            <w:r>
              <w:rPr>
                <w:sz w:val="20"/>
                <w:szCs w:val="20"/>
              </w:rPr>
              <w:t>Alcohol and Drug Services</w:t>
            </w:r>
          </w:p>
        </w:tc>
        <w:tc>
          <w:tcPr>
            <w:tcW w:w="3507" w:type="dxa"/>
          </w:tcPr>
          <w:p w14:paraId="3E2D525C" w14:textId="77777777" w:rsidR="00D61BD0" w:rsidRDefault="00610E07" w:rsidP="00AD35A5">
            <w:pPr>
              <w:widowControl w:val="0"/>
              <w:tabs>
                <w:tab w:val="left" w:pos="1110"/>
              </w:tabs>
              <w:spacing w:after="0" w:line="240" w:lineRule="auto"/>
              <w:rPr>
                <w:sz w:val="20"/>
                <w:szCs w:val="20"/>
              </w:rPr>
            </w:pPr>
            <w:r>
              <w:rPr>
                <w:sz w:val="20"/>
                <w:szCs w:val="20"/>
              </w:rPr>
              <w:t>Inpatient Withdrawal Management</w:t>
            </w:r>
          </w:p>
          <w:p w14:paraId="3601C548" w14:textId="77777777" w:rsidR="00610E07" w:rsidRDefault="00610E07" w:rsidP="00AD35A5">
            <w:pPr>
              <w:widowControl w:val="0"/>
              <w:tabs>
                <w:tab w:val="left" w:pos="1110"/>
              </w:tabs>
              <w:spacing w:after="0" w:line="240" w:lineRule="auto"/>
              <w:rPr>
                <w:sz w:val="20"/>
                <w:szCs w:val="20"/>
              </w:rPr>
            </w:pPr>
            <w:r>
              <w:rPr>
                <w:sz w:val="20"/>
                <w:szCs w:val="20"/>
              </w:rPr>
              <w:t>Opioid Pharmacotherapy</w:t>
            </w:r>
          </w:p>
          <w:p w14:paraId="28B71E6C" w14:textId="77777777" w:rsidR="00610E07" w:rsidRDefault="00610E07" w:rsidP="00AD35A5">
            <w:pPr>
              <w:widowControl w:val="0"/>
              <w:tabs>
                <w:tab w:val="left" w:pos="1110"/>
              </w:tabs>
              <w:spacing w:after="0" w:line="240" w:lineRule="auto"/>
              <w:rPr>
                <w:sz w:val="20"/>
                <w:szCs w:val="20"/>
              </w:rPr>
            </w:pPr>
            <w:r>
              <w:rPr>
                <w:sz w:val="20"/>
                <w:szCs w:val="20"/>
              </w:rPr>
              <w:t xml:space="preserve">Psychosocial support </w:t>
            </w:r>
          </w:p>
          <w:p w14:paraId="566829E1" w14:textId="4B1E911B" w:rsidR="00610E07" w:rsidRPr="00A66C02" w:rsidRDefault="00610E07" w:rsidP="00AD35A5">
            <w:pPr>
              <w:widowControl w:val="0"/>
              <w:tabs>
                <w:tab w:val="left" w:pos="1110"/>
              </w:tabs>
              <w:spacing w:after="0" w:line="240" w:lineRule="auto"/>
              <w:rPr>
                <w:sz w:val="20"/>
                <w:szCs w:val="20"/>
              </w:rPr>
            </w:pPr>
            <w:r>
              <w:rPr>
                <w:sz w:val="20"/>
                <w:szCs w:val="20"/>
              </w:rPr>
              <w:t xml:space="preserve">Consultation Liaison </w:t>
            </w:r>
          </w:p>
        </w:tc>
        <w:tc>
          <w:tcPr>
            <w:tcW w:w="2582" w:type="dxa"/>
          </w:tcPr>
          <w:p w14:paraId="751B7347" w14:textId="66FE86B7" w:rsidR="00D61BD0" w:rsidRPr="00A66C02" w:rsidRDefault="00D61BD0" w:rsidP="00AD35A5">
            <w:pPr>
              <w:widowControl w:val="0"/>
              <w:tabs>
                <w:tab w:val="left" w:pos="1110"/>
              </w:tabs>
              <w:spacing w:after="0" w:line="240" w:lineRule="auto"/>
              <w:rPr>
                <w:sz w:val="20"/>
                <w:szCs w:val="20"/>
              </w:rPr>
            </w:pPr>
            <w:r>
              <w:rPr>
                <w:sz w:val="20"/>
                <w:szCs w:val="20"/>
              </w:rPr>
              <w:t>Statewide</w:t>
            </w:r>
          </w:p>
        </w:tc>
      </w:tr>
      <w:tr w:rsidR="00AD35A5" w:rsidRPr="000A7D31" w14:paraId="31828719" w14:textId="77777777" w:rsidTr="00B03490">
        <w:trPr>
          <w:jc w:val="center"/>
        </w:trPr>
        <w:tc>
          <w:tcPr>
            <w:tcW w:w="3051" w:type="dxa"/>
          </w:tcPr>
          <w:p w14:paraId="7C11CDE9"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 xml:space="preserve">Alcohol, Tobacco and </w:t>
            </w:r>
            <w:proofErr w:type="gramStart"/>
            <w:r w:rsidRPr="00A66C02">
              <w:rPr>
                <w:sz w:val="20"/>
                <w:szCs w:val="20"/>
              </w:rPr>
              <w:t>other</w:t>
            </w:r>
            <w:proofErr w:type="gramEnd"/>
            <w:r w:rsidRPr="00A66C02">
              <w:rPr>
                <w:sz w:val="20"/>
                <w:szCs w:val="20"/>
              </w:rPr>
              <w:t xml:space="preserve"> Drugs Council Tasmania</w:t>
            </w:r>
          </w:p>
        </w:tc>
        <w:tc>
          <w:tcPr>
            <w:tcW w:w="3507" w:type="dxa"/>
          </w:tcPr>
          <w:p w14:paraId="52156C17"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Peak Body</w:t>
            </w:r>
          </w:p>
        </w:tc>
        <w:tc>
          <w:tcPr>
            <w:tcW w:w="2582" w:type="dxa"/>
          </w:tcPr>
          <w:p w14:paraId="1AE07F5B"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Statewide</w:t>
            </w:r>
          </w:p>
        </w:tc>
      </w:tr>
      <w:tr w:rsidR="00AD35A5" w:rsidRPr="000A7D31" w14:paraId="49C0CACE" w14:textId="77777777" w:rsidTr="00B03490">
        <w:trPr>
          <w:jc w:val="center"/>
        </w:trPr>
        <w:tc>
          <w:tcPr>
            <w:tcW w:w="3051" w:type="dxa"/>
          </w:tcPr>
          <w:p w14:paraId="77859708"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Anglicare</w:t>
            </w:r>
          </w:p>
        </w:tc>
        <w:tc>
          <w:tcPr>
            <w:tcW w:w="3507" w:type="dxa"/>
          </w:tcPr>
          <w:p w14:paraId="5AFFFCA6"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 xml:space="preserve">Family Support </w:t>
            </w:r>
          </w:p>
          <w:p w14:paraId="298C5821"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AOD services</w:t>
            </w:r>
          </w:p>
          <w:p w14:paraId="6EA947CA" w14:textId="77777777" w:rsidR="00AD35A5" w:rsidRDefault="00AD35A5" w:rsidP="00AD35A5">
            <w:pPr>
              <w:widowControl w:val="0"/>
              <w:tabs>
                <w:tab w:val="left" w:pos="1110"/>
              </w:tabs>
              <w:spacing w:after="0" w:line="240" w:lineRule="auto"/>
              <w:rPr>
                <w:sz w:val="20"/>
                <w:szCs w:val="20"/>
              </w:rPr>
            </w:pPr>
            <w:r w:rsidRPr="00A66C02">
              <w:rPr>
                <w:sz w:val="20"/>
                <w:szCs w:val="20"/>
              </w:rPr>
              <w:t>Care Coordination</w:t>
            </w:r>
          </w:p>
          <w:p w14:paraId="081DAC14" w14:textId="032FDFDE" w:rsidR="00871B08" w:rsidRPr="00A66C02" w:rsidRDefault="00871B08" w:rsidP="00AD35A5">
            <w:pPr>
              <w:widowControl w:val="0"/>
              <w:tabs>
                <w:tab w:val="left" w:pos="1110"/>
              </w:tabs>
              <w:spacing w:after="0" w:line="240" w:lineRule="auto"/>
              <w:rPr>
                <w:sz w:val="20"/>
                <w:szCs w:val="20"/>
              </w:rPr>
            </w:pPr>
            <w:r>
              <w:rPr>
                <w:sz w:val="20"/>
                <w:szCs w:val="20"/>
              </w:rPr>
              <w:t xml:space="preserve">Needle and Syringe Program (NSP) </w:t>
            </w:r>
          </w:p>
        </w:tc>
        <w:tc>
          <w:tcPr>
            <w:tcW w:w="2582" w:type="dxa"/>
          </w:tcPr>
          <w:p w14:paraId="755F36AE"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North and North West</w:t>
            </w:r>
          </w:p>
          <w:p w14:paraId="60C1B2FC"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 xml:space="preserve">Break </w:t>
            </w:r>
            <w:proofErr w:type="spellStart"/>
            <w:r w:rsidRPr="00A66C02">
              <w:rPr>
                <w:sz w:val="20"/>
                <w:szCs w:val="20"/>
              </w:rPr>
              <w:t>O’Day</w:t>
            </w:r>
            <w:proofErr w:type="spellEnd"/>
            <w:r w:rsidRPr="00A66C02">
              <w:rPr>
                <w:sz w:val="20"/>
                <w:szCs w:val="20"/>
              </w:rPr>
              <w:t>, East Coast</w:t>
            </w:r>
          </w:p>
          <w:p w14:paraId="71AD16C5" w14:textId="77777777" w:rsidR="00AD35A5" w:rsidRDefault="00AD35A5" w:rsidP="00AD35A5">
            <w:pPr>
              <w:widowControl w:val="0"/>
              <w:tabs>
                <w:tab w:val="left" w:pos="1110"/>
              </w:tabs>
              <w:spacing w:after="0" w:line="240" w:lineRule="auto"/>
              <w:rPr>
                <w:sz w:val="20"/>
                <w:szCs w:val="20"/>
              </w:rPr>
            </w:pPr>
            <w:r w:rsidRPr="00A66C02">
              <w:rPr>
                <w:sz w:val="20"/>
                <w:szCs w:val="20"/>
              </w:rPr>
              <w:t>Statewide</w:t>
            </w:r>
          </w:p>
          <w:p w14:paraId="01FC5E78" w14:textId="732C3D12" w:rsidR="00871B08" w:rsidRPr="00A66C02" w:rsidRDefault="00871B08" w:rsidP="00AD35A5">
            <w:pPr>
              <w:widowControl w:val="0"/>
              <w:tabs>
                <w:tab w:val="left" w:pos="1110"/>
              </w:tabs>
              <w:spacing w:after="0" w:line="240" w:lineRule="auto"/>
              <w:rPr>
                <w:sz w:val="20"/>
                <w:szCs w:val="20"/>
              </w:rPr>
            </w:pPr>
            <w:r>
              <w:rPr>
                <w:sz w:val="20"/>
                <w:szCs w:val="20"/>
              </w:rPr>
              <w:t>North West and South</w:t>
            </w:r>
          </w:p>
        </w:tc>
      </w:tr>
      <w:tr w:rsidR="00AD35A5" w:rsidRPr="000A7D31" w14:paraId="5B60CEBC" w14:textId="77777777" w:rsidTr="00B03490">
        <w:trPr>
          <w:jc w:val="center"/>
        </w:trPr>
        <w:tc>
          <w:tcPr>
            <w:tcW w:w="3051" w:type="dxa"/>
          </w:tcPr>
          <w:p w14:paraId="043116EF"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Circular Head Aboriginal Corporation</w:t>
            </w:r>
          </w:p>
        </w:tc>
        <w:tc>
          <w:tcPr>
            <w:tcW w:w="3507" w:type="dxa"/>
          </w:tcPr>
          <w:p w14:paraId="6A498DFD" w14:textId="77777777" w:rsidR="00AD35A5" w:rsidRPr="00A66C02" w:rsidRDefault="00AD35A5" w:rsidP="00AD35A5">
            <w:pPr>
              <w:widowControl w:val="0"/>
              <w:tabs>
                <w:tab w:val="left" w:pos="1110"/>
              </w:tabs>
              <w:spacing w:after="0" w:line="240" w:lineRule="auto"/>
              <w:rPr>
                <w:sz w:val="20"/>
                <w:szCs w:val="20"/>
              </w:rPr>
            </w:pPr>
            <w:r>
              <w:rPr>
                <w:sz w:val="20"/>
                <w:szCs w:val="20"/>
              </w:rPr>
              <w:t>Tasmanian Early Intervention Program (</w:t>
            </w:r>
            <w:r w:rsidRPr="00A66C02">
              <w:rPr>
                <w:sz w:val="20"/>
                <w:szCs w:val="20"/>
              </w:rPr>
              <w:t>TEIP</w:t>
            </w:r>
            <w:r>
              <w:rPr>
                <w:sz w:val="20"/>
                <w:szCs w:val="20"/>
              </w:rPr>
              <w:t>)</w:t>
            </w:r>
          </w:p>
          <w:p w14:paraId="22D90179"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Illicit Drug Diversion (IDDI)</w:t>
            </w:r>
          </w:p>
        </w:tc>
        <w:tc>
          <w:tcPr>
            <w:tcW w:w="2582" w:type="dxa"/>
          </w:tcPr>
          <w:p w14:paraId="7A1A3B45"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North West</w:t>
            </w:r>
          </w:p>
        </w:tc>
      </w:tr>
      <w:tr w:rsidR="00AD35A5" w:rsidRPr="000A7D31" w14:paraId="7A3B00CC" w14:textId="77777777" w:rsidTr="00B03490">
        <w:trPr>
          <w:jc w:val="center"/>
        </w:trPr>
        <w:tc>
          <w:tcPr>
            <w:tcW w:w="3051" w:type="dxa"/>
          </w:tcPr>
          <w:p w14:paraId="2BE7E820"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Drug Education Network</w:t>
            </w:r>
          </w:p>
        </w:tc>
        <w:tc>
          <w:tcPr>
            <w:tcW w:w="3507" w:type="dxa"/>
          </w:tcPr>
          <w:p w14:paraId="7AC0E7B1"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Health Promotion</w:t>
            </w:r>
          </w:p>
        </w:tc>
        <w:tc>
          <w:tcPr>
            <w:tcW w:w="2582" w:type="dxa"/>
          </w:tcPr>
          <w:p w14:paraId="558569DC"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Statewide</w:t>
            </w:r>
          </w:p>
        </w:tc>
      </w:tr>
      <w:tr w:rsidR="00AD35A5" w:rsidRPr="000A7D31" w14:paraId="744060BC" w14:textId="77777777" w:rsidTr="00B03490">
        <w:trPr>
          <w:jc w:val="center"/>
        </w:trPr>
        <w:tc>
          <w:tcPr>
            <w:tcW w:w="3051" w:type="dxa"/>
          </w:tcPr>
          <w:p w14:paraId="449A972F"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Holyoake</w:t>
            </w:r>
          </w:p>
        </w:tc>
        <w:tc>
          <w:tcPr>
            <w:tcW w:w="3507" w:type="dxa"/>
          </w:tcPr>
          <w:p w14:paraId="79A6B053"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Counselling</w:t>
            </w:r>
          </w:p>
          <w:p w14:paraId="0AC76095"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TEIP &amp; IDDI</w:t>
            </w:r>
          </w:p>
        </w:tc>
        <w:tc>
          <w:tcPr>
            <w:tcW w:w="2582" w:type="dxa"/>
          </w:tcPr>
          <w:p w14:paraId="1DD0F47F"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South</w:t>
            </w:r>
          </w:p>
        </w:tc>
      </w:tr>
      <w:tr w:rsidR="00AD35A5" w:rsidRPr="000A7D31" w14:paraId="175A480C" w14:textId="77777777" w:rsidTr="00B03490">
        <w:trPr>
          <w:jc w:val="center"/>
        </w:trPr>
        <w:tc>
          <w:tcPr>
            <w:tcW w:w="3051" w:type="dxa"/>
          </w:tcPr>
          <w:p w14:paraId="64CBF9C4"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Launceston City Mission</w:t>
            </w:r>
          </w:p>
        </w:tc>
        <w:tc>
          <w:tcPr>
            <w:tcW w:w="3507" w:type="dxa"/>
          </w:tcPr>
          <w:p w14:paraId="0039BC95" w14:textId="4D830567" w:rsidR="00AD35A5" w:rsidRDefault="00AD35A5" w:rsidP="00AD35A5">
            <w:pPr>
              <w:widowControl w:val="0"/>
              <w:tabs>
                <w:tab w:val="left" w:pos="1110"/>
              </w:tabs>
              <w:spacing w:after="0" w:line="240" w:lineRule="auto"/>
              <w:rPr>
                <w:sz w:val="20"/>
                <w:szCs w:val="20"/>
              </w:rPr>
            </w:pPr>
            <w:r w:rsidRPr="00A66C02">
              <w:rPr>
                <w:sz w:val="20"/>
                <w:szCs w:val="20"/>
              </w:rPr>
              <w:t>Case Management support (for residential rehabilitation)</w:t>
            </w:r>
          </w:p>
          <w:p w14:paraId="367321FA" w14:textId="37DD3A32" w:rsidR="00D61BD0" w:rsidRPr="00A66C02" w:rsidRDefault="00D61BD0" w:rsidP="00AD35A5">
            <w:pPr>
              <w:widowControl w:val="0"/>
              <w:tabs>
                <w:tab w:val="left" w:pos="1110"/>
              </w:tabs>
              <w:spacing w:after="0" w:line="240" w:lineRule="auto"/>
              <w:rPr>
                <w:sz w:val="20"/>
                <w:szCs w:val="20"/>
              </w:rPr>
            </w:pPr>
            <w:r>
              <w:rPr>
                <w:sz w:val="20"/>
                <w:szCs w:val="20"/>
              </w:rPr>
              <w:t>Residential Rehabilitation</w:t>
            </w:r>
          </w:p>
          <w:p w14:paraId="42045494"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Places of Safety</w:t>
            </w:r>
          </w:p>
        </w:tc>
        <w:tc>
          <w:tcPr>
            <w:tcW w:w="2582" w:type="dxa"/>
          </w:tcPr>
          <w:p w14:paraId="3B2D914D"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 xml:space="preserve">North </w:t>
            </w:r>
          </w:p>
          <w:p w14:paraId="5E2C0F89" w14:textId="77777777" w:rsidR="00AD35A5" w:rsidRPr="00A66C02" w:rsidRDefault="00AD35A5" w:rsidP="00AD35A5">
            <w:pPr>
              <w:widowControl w:val="0"/>
              <w:tabs>
                <w:tab w:val="left" w:pos="1110"/>
              </w:tabs>
              <w:spacing w:after="0" w:line="240" w:lineRule="auto"/>
              <w:rPr>
                <w:sz w:val="20"/>
                <w:szCs w:val="20"/>
              </w:rPr>
            </w:pPr>
          </w:p>
          <w:p w14:paraId="69BE1FCC" w14:textId="77777777" w:rsidR="00AD35A5" w:rsidRDefault="00AD35A5" w:rsidP="00AD35A5">
            <w:pPr>
              <w:widowControl w:val="0"/>
              <w:tabs>
                <w:tab w:val="left" w:pos="1110"/>
              </w:tabs>
              <w:spacing w:after="0" w:line="240" w:lineRule="auto"/>
              <w:rPr>
                <w:sz w:val="20"/>
                <w:szCs w:val="20"/>
              </w:rPr>
            </w:pPr>
            <w:r w:rsidRPr="00A66C02">
              <w:rPr>
                <w:sz w:val="20"/>
                <w:szCs w:val="20"/>
              </w:rPr>
              <w:t>North &amp; North West</w:t>
            </w:r>
          </w:p>
          <w:p w14:paraId="5B5CEF6E" w14:textId="6534B3EA" w:rsidR="00D61BD0" w:rsidRPr="00A66C02" w:rsidRDefault="00D61BD0" w:rsidP="00AD35A5">
            <w:pPr>
              <w:widowControl w:val="0"/>
              <w:tabs>
                <w:tab w:val="left" w:pos="1110"/>
              </w:tabs>
              <w:spacing w:after="0" w:line="240" w:lineRule="auto"/>
              <w:rPr>
                <w:sz w:val="20"/>
                <w:szCs w:val="20"/>
              </w:rPr>
            </w:pPr>
            <w:r>
              <w:rPr>
                <w:sz w:val="20"/>
                <w:szCs w:val="20"/>
              </w:rPr>
              <w:t>North and North West</w:t>
            </w:r>
          </w:p>
        </w:tc>
      </w:tr>
      <w:tr w:rsidR="00AD35A5" w:rsidRPr="000A7D31" w14:paraId="60D5A6BF" w14:textId="77777777" w:rsidTr="00B03490">
        <w:trPr>
          <w:jc w:val="center"/>
        </w:trPr>
        <w:tc>
          <w:tcPr>
            <w:tcW w:w="3051" w:type="dxa"/>
          </w:tcPr>
          <w:p w14:paraId="7D8ABC36"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lastRenderedPageBreak/>
              <w:t>Salvation Army</w:t>
            </w:r>
          </w:p>
        </w:tc>
        <w:tc>
          <w:tcPr>
            <w:tcW w:w="3507" w:type="dxa"/>
          </w:tcPr>
          <w:p w14:paraId="4E636B3D"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 xml:space="preserve">Residential Rehabilitation </w:t>
            </w:r>
          </w:p>
          <w:p w14:paraId="5715D44E"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TEIP &amp; IDDI</w:t>
            </w:r>
          </w:p>
          <w:p w14:paraId="3C6CA9F8" w14:textId="77777777" w:rsidR="00AD35A5" w:rsidRDefault="00AD35A5" w:rsidP="00AD35A5">
            <w:pPr>
              <w:widowControl w:val="0"/>
              <w:tabs>
                <w:tab w:val="left" w:pos="1110"/>
              </w:tabs>
              <w:spacing w:after="0" w:line="240" w:lineRule="auto"/>
              <w:rPr>
                <w:sz w:val="20"/>
                <w:szCs w:val="20"/>
              </w:rPr>
            </w:pPr>
            <w:r w:rsidRPr="00A66C02">
              <w:rPr>
                <w:sz w:val="20"/>
                <w:szCs w:val="20"/>
              </w:rPr>
              <w:t>Places of Safety</w:t>
            </w:r>
          </w:p>
          <w:p w14:paraId="7B7EA9AC" w14:textId="058BDACA" w:rsidR="00871B08" w:rsidRPr="00A66C02" w:rsidRDefault="00871B08" w:rsidP="00AD35A5">
            <w:pPr>
              <w:widowControl w:val="0"/>
              <w:tabs>
                <w:tab w:val="left" w:pos="1110"/>
              </w:tabs>
              <w:spacing w:after="0" w:line="240" w:lineRule="auto"/>
              <w:rPr>
                <w:sz w:val="20"/>
                <w:szCs w:val="20"/>
              </w:rPr>
            </w:pPr>
            <w:r>
              <w:rPr>
                <w:sz w:val="20"/>
                <w:szCs w:val="20"/>
              </w:rPr>
              <w:t xml:space="preserve">NSP </w:t>
            </w:r>
          </w:p>
        </w:tc>
        <w:tc>
          <w:tcPr>
            <w:tcW w:w="2582" w:type="dxa"/>
          </w:tcPr>
          <w:p w14:paraId="4540168F"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South &amp; North West</w:t>
            </w:r>
          </w:p>
          <w:p w14:paraId="46AE3527"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North</w:t>
            </w:r>
          </w:p>
          <w:p w14:paraId="0C1739CC" w14:textId="77777777" w:rsidR="00AD35A5" w:rsidRDefault="00AD35A5" w:rsidP="00AD35A5">
            <w:pPr>
              <w:widowControl w:val="0"/>
              <w:tabs>
                <w:tab w:val="left" w:pos="1110"/>
              </w:tabs>
              <w:spacing w:after="0" w:line="240" w:lineRule="auto"/>
              <w:rPr>
                <w:sz w:val="20"/>
                <w:szCs w:val="20"/>
              </w:rPr>
            </w:pPr>
            <w:r w:rsidRPr="00A66C02">
              <w:rPr>
                <w:sz w:val="20"/>
                <w:szCs w:val="20"/>
              </w:rPr>
              <w:t>South</w:t>
            </w:r>
          </w:p>
          <w:p w14:paraId="243A04C4" w14:textId="2CBF0711" w:rsidR="00871B08" w:rsidRPr="00A66C02" w:rsidRDefault="00871B08" w:rsidP="00AD35A5">
            <w:pPr>
              <w:widowControl w:val="0"/>
              <w:tabs>
                <w:tab w:val="left" w:pos="1110"/>
              </w:tabs>
              <w:spacing w:after="0" w:line="240" w:lineRule="auto"/>
              <w:rPr>
                <w:sz w:val="20"/>
                <w:szCs w:val="20"/>
              </w:rPr>
            </w:pPr>
            <w:r>
              <w:rPr>
                <w:sz w:val="20"/>
                <w:szCs w:val="20"/>
              </w:rPr>
              <w:t>North</w:t>
            </w:r>
          </w:p>
        </w:tc>
      </w:tr>
      <w:tr w:rsidR="00AD35A5" w:rsidRPr="000A7D31" w14:paraId="0373B1F1" w14:textId="77777777" w:rsidTr="00B03490">
        <w:trPr>
          <w:jc w:val="center"/>
        </w:trPr>
        <w:tc>
          <w:tcPr>
            <w:tcW w:w="3051" w:type="dxa"/>
          </w:tcPr>
          <w:p w14:paraId="7F6ADB87"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The Link Youth Health Service</w:t>
            </w:r>
          </w:p>
        </w:tc>
        <w:tc>
          <w:tcPr>
            <w:tcW w:w="3507" w:type="dxa"/>
          </w:tcPr>
          <w:p w14:paraId="4174CAB2" w14:textId="31E6F9DE" w:rsidR="00AD35A5" w:rsidRPr="00A66C02" w:rsidRDefault="00AD35A5" w:rsidP="00AD35A5">
            <w:pPr>
              <w:widowControl w:val="0"/>
              <w:tabs>
                <w:tab w:val="left" w:pos="1110"/>
              </w:tabs>
              <w:spacing w:after="0" w:line="240" w:lineRule="auto"/>
              <w:rPr>
                <w:sz w:val="20"/>
                <w:szCs w:val="20"/>
              </w:rPr>
            </w:pPr>
            <w:r w:rsidRPr="00A66C02">
              <w:rPr>
                <w:sz w:val="20"/>
                <w:szCs w:val="20"/>
              </w:rPr>
              <w:t>Youth alcohol and drug</w:t>
            </w:r>
            <w:r w:rsidR="00D61BD0">
              <w:rPr>
                <w:sz w:val="20"/>
                <w:szCs w:val="20"/>
              </w:rPr>
              <w:t xml:space="preserve"> </w:t>
            </w:r>
          </w:p>
          <w:p w14:paraId="192984D1" w14:textId="77777777" w:rsidR="00AD35A5" w:rsidRDefault="00AD35A5" w:rsidP="00AD35A5">
            <w:pPr>
              <w:widowControl w:val="0"/>
              <w:tabs>
                <w:tab w:val="left" w:pos="1110"/>
              </w:tabs>
              <w:spacing w:after="0" w:line="240" w:lineRule="auto"/>
              <w:rPr>
                <w:sz w:val="20"/>
                <w:szCs w:val="20"/>
              </w:rPr>
            </w:pPr>
            <w:r w:rsidRPr="00A66C02">
              <w:rPr>
                <w:sz w:val="20"/>
                <w:szCs w:val="20"/>
              </w:rPr>
              <w:t>TEIP and IDDI</w:t>
            </w:r>
          </w:p>
          <w:p w14:paraId="3890E3DC" w14:textId="7A3745FF" w:rsidR="00871B08" w:rsidRPr="00A66C02" w:rsidRDefault="00871B08" w:rsidP="00AD35A5">
            <w:pPr>
              <w:widowControl w:val="0"/>
              <w:tabs>
                <w:tab w:val="left" w:pos="1110"/>
              </w:tabs>
              <w:spacing w:after="0" w:line="240" w:lineRule="auto"/>
              <w:rPr>
                <w:sz w:val="20"/>
                <w:szCs w:val="20"/>
              </w:rPr>
            </w:pPr>
            <w:r>
              <w:rPr>
                <w:sz w:val="20"/>
                <w:szCs w:val="20"/>
              </w:rPr>
              <w:t>NSP (secondary outlet)</w:t>
            </w:r>
          </w:p>
        </w:tc>
        <w:tc>
          <w:tcPr>
            <w:tcW w:w="2582" w:type="dxa"/>
          </w:tcPr>
          <w:p w14:paraId="2982368E"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South</w:t>
            </w:r>
          </w:p>
        </w:tc>
      </w:tr>
      <w:tr w:rsidR="00AD35A5" w:rsidRPr="000A7D31" w14:paraId="36E10345" w14:textId="77777777" w:rsidTr="00B03490">
        <w:trPr>
          <w:jc w:val="center"/>
        </w:trPr>
        <w:tc>
          <w:tcPr>
            <w:tcW w:w="3051" w:type="dxa"/>
          </w:tcPr>
          <w:p w14:paraId="087E218D"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Velocity Transformations</w:t>
            </w:r>
          </w:p>
        </w:tc>
        <w:tc>
          <w:tcPr>
            <w:tcW w:w="3507" w:type="dxa"/>
          </w:tcPr>
          <w:p w14:paraId="26E05789" w14:textId="77777777" w:rsidR="00AD35A5" w:rsidRDefault="00AD35A5" w:rsidP="00AD35A5">
            <w:pPr>
              <w:widowControl w:val="0"/>
              <w:tabs>
                <w:tab w:val="left" w:pos="1110"/>
              </w:tabs>
              <w:spacing w:after="0" w:line="240" w:lineRule="auto"/>
              <w:rPr>
                <w:sz w:val="20"/>
                <w:szCs w:val="20"/>
              </w:rPr>
            </w:pPr>
            <w:r w:rsidRPr="00A66C02">
              <w:rPr>
                <w:sz w:val="20"/>
                <w:szCs w:val="20"/>
              </w:rPr>
              <w:t>Case Management support (for residential rehabilitation)</w:t>
            </w:r>
          </w:p>
          <w:p w14:paraId="69D9DE22" w14:textId="14C1DDDF" w:rsidR="00CF5C49" w:rsidRPr="00A66C02" w:rsidRDefault="00CF5C49" w:rsidP="00AD35A5">
            <w:pPr>
              <w:widowControl w:val="0"/>
              <w:tabs>
                <w:tab w:val="left" w:pos="1110"/>
              </w:tabs>
              <w:spacing w:after="0" w:line="240" w:lineRule="auto"/>
              <w:rPr>
                <w:sz w:val="20"/>
                <w:szCs w:val="20"/>
              </w:rPr>
            </w:pPr>
            <w:r>
              <w:rPr>
                <w:sz w:val="20"/>
                <w:szCs w:val="20"/>
              </w:rPr>
              <w:t>Residential Rehabilitation for Women</w:t>
            </w:r>
          </w:p>
        </w:tc>
        <w:tc>
          <w:tcPr>
            <w:tcW w:w="2582" w:type="dxa"/>
          </w:tcPr>
          <w:p w14:paraId="662BBC3B"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South</w:t>
            </w:r>
          </w:p>
        </w:tc>
      </w:tr>
      <w:tr w:rsidR="00AD35A5" w:rsidRPr="000A7D31" w14:paraId="5F752937" w14:textId="77777777" w:rsidTr="00B03490">
        <w:trPr>
          <w:jc w:val="center"/>
        </w:trPr>
        <w:tc>
          <w:tcPr>
            <w:tcW w:w="3051" w:type="dxa"/>
          </w:tcPr>
          <w:p w14:paraId="71472DC1"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Youth, Family &amp; Community Connections</w:t>
            </w:r>
          </w:p>
        </w:tc>
        <w:tc>
          <w:tcPr>
            <w:tcW w:w="3507" w:type="dxa"/>
          </w:tcPr>
          <w:p w14:paraId="52B32E16"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 xml:space="preserve">Youth alcohol and drug </w:t>
            </w:r>
          </w:p>
          <w:p w14:paraId="4CA014BC" w14:textId="77777777" w:rsidR="00AD35A5" w:rsidRDefault="00AD35A5" w:rsidP="00AD35A5">
            <w:pPr>
              <w:widowControl w:val="0"/>
              <w:tabs>
                <w:tab w:val="left" w:pos="1110"/>
              </w:tabs>
              <w:spacing w:after="0" w:line="240" w:lineRule="auto"/>
              <w:rPr>
                <w:sz w:val="20"/>
                <w:szCs w:val="20"/>
              </w:rPr>
            </w:pPr>
            <w:r w:rsidRPr="00A66C02">
              <w:rPr>
                <w:sz w:val="20"/>
                <w:szCs w:val="20"/>
              </w:rPr>
              <w:t>TEIP &amp; IDDI</w:t>
            </w:r>
          </w:p>
          <w:p w14:paraId="3EFBEE44" w14:textId="5EABF2BB" w:rsidR="00871B08" w:rsidRPr="00A66C02" w:rsidRDefault="00871B08" w:rsidP="00AD35A5">
            <w:pPr>
              <w:widowControl w:val="0"/>
              <w:tabs>
                <w:tab w:val="left" w:pos="1110"/>
              </w:tabs>
              <w:spacing w:after="0" w:line="240" w:lineRule="auto"/>
              <w:rPr>
                <w:sz w:val="20"/>
                <w:szCs w:val="20"/>
              </w:rPr>
            </w:pPr>
            <w:r>
              <w:rPr>
                <w:sz w:val="20"/>
                <w:szCs w:val="20"/>
              </w:rPr>
              <w:t xml:space="preserve">NSP </w:t>
            </w:r>
          </w:p>
        </w:tc>
        <w:tc>
          <w:tcPr>
            <w:tcW w:w="2582" w:type="dxa"/>
          </w:tcPr>
          <w:p w14:paraId="61F06C3C" w14:textId="77777777" w:rsidR="00AD35A5" w:rsidRPr="00A66C02" w:rsidRDefault="00AD35A5" w:rsidP="00AD35A5">
            <w:pPr>
              <w:widowControl w:val="0"/>
              <w:tabs>
                <w:tab w:val="left" w:pos="1110"/>
              </w:tabs>
              <w:spacing w:after="0" w:line="240" w:lineRule="auto"/>
              <w:rPr>
                <w:sz w:val="20"/>
                <w:szCs w:val="20"/>
              </w:rPr>
            </w:pPr>
            <w:r w:rsidRPr="00A66C02">
              <w:rPr>
                <w:sz w:val="20"/>
                <w:szCs w:val="20"/>
              </w:rPr>
              <w:t>North West</w:t>
            </w:r>
          </w:p>
        </w:tc>
      </w:tr>
    </w:tbl>
    <w:p w14:paraId="40D1123B" w14:textId="77777777" w:rsidR="00AD35A5" w:rsidRPr="00AD35A5" w:rsidRDefault="00AD35A5" w:rsidP="00AD35A5">
      <w:pPr>
        <w:pStyle w:val="ListParagraph"/>
        <w:spacing w:before="0" w:after="140" w:line="280" w:lineRule="atLeast"/>
        <w:ind w:left="426"/>
        <w:contextualSpacing w:val="0"/>
        <w:jc w:val="left"/>
        <w:rPr>
          <w:rFonts w:ascii="Gill Sans MT" w:hAnsi="Gill Sans MT"/>
          <w:sz w:val="22"/>
        </w:rPr>
      </w:pPr>
    </w:p>
    <w:p w14:paraId="3352143D" w14:textId="77777777" w:rsidR="00363089" w:rsidRPr="00A44F61" w:rsidRDefault="00363089" w:rsidP="00962BF9">
      <w:pPr>
        <w:widowControl w:val="0"/>
        <w:spacing w:line="280" w:lineRule="atLeast"/>
        <w:rPr>
          <w:b/>
        </w:rPr>
      </w:pPr>
      <w:r w:rsidRPr="00A44F61">
        <w:rPr>
          <w:b/>
        </w:rPr>
        <w:t>Strengthen evidence-based awareness-raising, education initiatives and early interventions in a range of targeted settings, population groups and developmental transition points</w:t>
      </w:r>
    </w:p>
    <w:p w14:paraId="6EDF2DFE" w14:textId="77777777" w:rsidR="00A77588" w:rsidRPr="00C2338D" w:rsidRDefault="00A77588" w:rsidP="00962BF9">
      <w:pPr>
        <w:pStyle w:val="ListParagraph"/>
        <w:widowControl w:val="0"/>
        <w:numPr>
          <w:ilvl w:val="0"/>
          <w:numId w:val="39"/>
        </w:numPr>
        <w:spacing w:before="0" w:after="140" w:line="280" w:lineRule="atLeast"/>
        <w:ind w:left="426" w:hanging="426"/>
        <w:contextualSpacing w:val="0"/>
        <w:jc w:val="left"/>
        <w:rPr>
          <w:rFonts w:ascii="Gill Sans MT" w:hAnsi="Gill Sans MT"/>
          <w:sz w:val="22"/>
        </w:rPr>
      </w:pPr>
      <w:r w:rsidRPr="00C2338D">
        <w:rPr>
          <w:rFonts w:ascii="Gill Sans MT" w:hAnsi="Gill Sans MT"/>
          <w:sz w:val="22"/>
        </w:rPr>
        <w:t xml:space="preserve">In June 2015 the ATDC launched the alcohol, tobacco and other drugs sector Implementation Plan that sets out a range of PPEI activities that can be undertaken by the sector.  The ATDC developed the plan in consultation with the ATOD PPEI Implementation Group which consisted of key representatives from stakeholder </w:t>
      </w:r>
      <w:proofErr w:type="spellStart"/>
      <w:r w:rsidRPr="00C2338D">
        <w:rPr>
          <w:rFonts w:ascii="Gill Sans MT" w:hAnsi="Gill Sans MT"/>
          <w:sz w:val="22"/>
        </w:rPr>
        <w:t>organisations</w:t>
      </w:r>
      <w:proofErr w:type="spellEnd"/>
      <w:r w:rsidRPr="00C2338D">
        <w:rPr>
          <w:rFonts w:ascii="Gill Sans MT" w:hAnsi="Gill Sans MT"/>
          <w:sz w:val="22"/>
        </w:rPr>
        <w:t xml:space="preserve"> and interested parties within the alcohol, tobacco and other drug sector. The Drug Education Network (DEN) is identified as the lead agency to support the implementation of ATOD PPEI </w:t>
      </w:r>
      <w:r w:rsidR="00E223D3" w:rsidRPr="00C2338D">
        <w:rPr>
          <w:rFonts w:ascii="Gill Sans MT" w:hAnsi="Gill Sans MT"/>
          <w:sz w:val="22"/>
        </w:rPr>
        <w:t>activities and</w:t>
      </w:r>
      <w:r w:rsidRPr="00C2338D">
        <w:rPr>
          <w:rFonts w:ascii="Gill Sans MT" w:hAnsi="Gill Sans MT"/>
          <w:sz w:val="22"/>
        </w:rPr>
        <w:t xml:space="preserve"> </w:t>
      </w:r>
      <w:r w:rsidR="00E223D3">
        <w:rPr>
          <w:rFonts w:ascii="Gill Sans MT" w:hAnsi="Gill Sans MT"/>
          <w:sz w:val="22"/>
        </w:rPr>
        <w:t>reported</w:t>
      </w:r>
      <w:r w:rsidRPr="00C2338D">
        <w:rPr>
          <w:rFonts w:ascii="Gill Sans MT" w:hAnsi="Gill Sans MT"/>
          <w:sz w:val="22"/>
        </w:rPr>
        <w:t xml:space="preserve"> annually to the IAWGD.</w:t>
      </w:r>
    </w:p>
    <w:p w14:paraId="02F44E35" w14:textId="77777777" w:rsidR="003B4A24" w:rsidRDefault="003B4A24" w:rsidP="00962BF9">
      <w:pPr>
        <w:pStyle w:val="NormalWeb"/>
        <w:widowControl w:val="0"/>
        <w:numPr>
          <w:ilvl w:val="0"/>
          <w:numId w:val="39"/>
        </w:numPr>
        <w:tabs>
          <w:tab w:val="clear" w:pos="567"/>
        </w:tabs>
        <w:spacing w:line="280" w:lineRule="atLeast"/>
        <w:ind w:left="426" w:hanging="426"/>
        <w:rPr>
          <w:rFonts w:ascii="Gill Sans MT" w:hAnsi="Gill Sans MT"/>
          <w:sz w:val="22"/>
        </w:rPr>
      </w:pPr>
      <w:r w:rsidRPr="00C2338D">
        <w:rPr>
          <w:rFonts w:ascii="Gill Sans MT" w:hAnsi="Gill Sans MT"/>
          <w:sz w:val="22"/>
        </w:rPr>
        <w:t xml:space="preserve">Training sessions for responding to methamphetamine use were held in July 2015, commissioned by the </w:t>
      </w:r>
      <w:r w:rsidR="003E4CAD">
        <w:rPr>
          <w:rFonts w:ascii="Gill Sans MT" w:hAnsi="Gill Sans MT"/>
          <w:sz w:val="22"/>
        </w:rPr>
        <w:t>ATDC</w:t>
      </w:r>
      <w:r w:rsidRPr="00C2338D">
        <w:rPr>
          <w:rFonts w:ascii="Gill Sans MT" w:hAnsi="Gill Sans MT"/>
          <w:sz w:val="22"/>
        </w:rPr>
        <w:t xml:space="preserve">.   252 people attended from across the alcohol and other drug (AOD), health, housing/homelessness, welfare, mental health, police, justice and education sectors.  </w:t>
      </w:r>
    </w:p>
    <w:p w14:paraId="7168EE24" w14:textId="77777777" w:rsidR="0028255F" w:rsidRPr="0028255F" w:rsidRDefault="0028255F" w:rsidP="00962BF9">
      <w:pPr>
        <w:pStyle w:val="ListParagraph"/>
        <w:widowControl w:val="0"/>
        <w:numPr>
          <w:ilvl w:val="0"/>
          <w:numId w:val="39"/>
        </w:numPr>
        <w:spacing w:before="0" w:after="140" w:line="280" w:lineRule="atLeast"/>
        <w:ind w:left="426" w:hanging="426"/>
        <w:contextualSpacing w:val="0"/>
        <w:jc w:val="left"/>
        <w:rPr>
          <w:rFonts w:ascii="Gill Sans MT" w:hAnsi="Gill Sans MT"/>
          <w:sz w:val="22"/>
        </w:rPr>
      </w:pPr>
      <w:r w:rsidRPr="0028255F">
        <w:rPr>
          <w:rFonts w:ascii="Gill Sans MT" w:hAnsi="Gill Sans MT"/>
          <w:sz w:val="22"/>
        </w:rPr>
        <w:t xml:space="preserve">Jointly funded by the state Alcohol and Drug Services and the </w:t>
      </w:r>
      <w:r w:rsidR="003E4CAD">
        <w:rPr>
          <w:rFonts w:ascii="Gill Sans MT" w:hAnsi="Gill Sans MT"/>
          <w:sz w:val="22"/>
        </w:rPr>
        <w:t>ATDC,</w:t>
      </w:r>
      <w:r w:rsidRPr="0028255F">
        <w:rPr>
          <w:rFonts w:ascii="Gill Sans MT" w:hAnsi="Gill Sans MT"/>
          <w:sz w:val="22"/>
        </w:rPr>
        <w:t xml:space="preserve"> </w:t>
      </w:r>
      <w:r>
        <w:rPr>
          <w:rFonts w:ascii="Gill Sans MT" w:hAnsi="Gill Sans MT"/>
          <w:sz w:val="22"/>
        </w:rPr>
        <w:t>a</w:t>
      </w:r>
      <w:r w:rsidRPr="0028255F">
        <w:rPr>
          <w:rFonts w:ascii="Gill Sans MT" w:hAnsi="Gill Sans MT"/>
          <w:sz w:val="22"/>
        </w:rPr>
        <w:t xml:space="preserve"> 4-day CBT Masterclass was provided by 360edge to 40 staff from across the government and non-government AOD sector in Tasmania, and as a requested follow-up to Methamphetamine specific training provided in 201</w:t>
      </w:r>
      <w:r>
        <w:rPr>
          <w:rFonts w:ascii="Gill Sans MT" w:hAnsi="Gill Sans MT"/>
          <w:sz w:val="22"/>
        </w:rPr>
        <w:t>5.</w:t>
      </w:r>
    </w:p>
    <w:p w14:paraId="6184BF55" w14:textId="77777777" w:rsidR="003B4A24" w:rsidRPr="00A12FD2" w:rsidRDefault="003B4A24" w:rsidP="00962BF9">
      <w:pPr>
        <w:pStyle w:val="ListBullet"/>
        <w:widowControl w:val="0"/>
        <w:numPr>
          <w:ilvl w:val="0"/>
          <w:numId w:val="39"/>
        </w:numPr>
        <w:spacing w:line="280" w:lineRule="atLeast"/>
        <w:ind w:left="426" w:hanging="426"/>
        <w:rPr>
          <w:lang w:eastAsia="en-AU"/>
        </w:rPr>
      </w:pPr>
      <w:r w:rsidRPr="00C2338D">
        <w:t>In addition, f</w:t>
      </w:r>
      <w:r w:rsidRPr="00C2338D">
        <w:rPr>
          <w:lang w:eastAsia="en-AU"/>
        </w:rPr>
        <w:t xml:space="preserve">unding of $119 000 was provided to the Alcohol and Drug Foundation (ADF) (previously Australian Drug Foundation) jointly by DHHS and Community Sport and Recreation to deliver the Good Sports Tackle the Issues initiative in Tasmania for the period October 2015 to </w:t>
      </w:r>
      <w:r w:rsidRPr="00A12FD2">
        <w:rPr>
          <w:lang w:eastAsia="en-AU"/>
        </w:rPr>
        <w:t xml:space="preserve">September 2016.  </w:t>
      </w:r>
    </w:p>
    <w:p w14:paraId="3CAD1225" w14:textId="77777777" w:rsidR="0028255F" w:rsidRPr="00A12FD2" w:rsidRDefault="003E4CAD" w:rsidP="00962BF9">
      <w:pPr>
        <w:pStyle w:val="ListParagraph"/>
        <w:widowControl w:val="0"/>
        <w:numPr>
          <w:ilvl w:val="0"/>
          <w:numId w:val="39"/>
        </w:numPr>
        <w:tabs>
          <w:tab w:val="left" w:pos="567"/>
        </w:tabs>
        <w:spacing w:before="0" w:after="140" w:line="280" w:lineRule="atLeast"/>
        <w:ind w:left="426" w:hanging="426"/>
        <w:contextualSpacing w:val="0"/>
        <w:jc w:val="left"/>
        <w:rPr>
          <w:rFonts w:ascii="Gill Sans MT" w:hAnsi="Gill Sans MT"/>
          <w:sz w:val="22"/>
        </w:rPr>
      </w:pPr>
      <w:r>
        <w:rPr>
          <w:rFonts w:ascii="Gill Sans MT" w:hAnsi="Gill Sans MT"/>
          <w:sz w:val="22"/>
        </w:rPr>
        <w:t>The ADF</w:t>
      </w:r>
      <w:r w:rsidR="0028255F" w:rsidRPr="00A12FD2">
        <w:rPr>
          <w:rFonts w:ascii="Gill Sans MT" w:hAnsi="Gill Sans MT"/>
          <w:sz w:val="22"/>
        </w:rPr>
        <w:t xml:space="preserve"> Good Sports Tasmania worked with Bowls Australia, Bowls North, AFL Tasmania, </w:t>
      </w:r>
      <w:proofErr w:type="spellStart"/>
      <w:r w:rsidR="0028255F" w:rsidRPr="00A12FD2">
        <w:rPr>
          <w:rFonts w:ascii="Gill Sans MT" w:hAnsi="Gill Sans MT"/>
          <w:sz w:val="22"/>
        </w:rPr>
        <w:t>Sorell</w:t>
      </w:r>
      <w:proofErr w:type="spellEnd"/>
      <w:r w:rsidR="0028255F" w:rsidRPr="00A12FD2">
        <w:rPr>
          <w:rFonts w:ascii="Gill Sans MT" w:hAnsi="Gill Sans MT"/>
          <w:sz w:val="22"/>
        </w:rPr>
        <w:t xml:space="preserve"> Council and the Northern Tasmania Football Association to deliver five (5) Tackling Illegal Drugs forums across the state. </w:t>
      </w:r>
    </w:p>
    <w:p w14:paraId="569DEF5B" w14:textId="77777777" w:rsidR="0028255F" w:rsidRDefault="0028255F" w:rsidP="00962BF9">
      <w:pPr>
        <w:pStyle w:val="ListParagraph"/>
        <w:widowControl w:val="0"/>
        <w:numPr>
          <w:ilvl w:val="0"/>
          <w:numId w:val="39"/>
        </w:numPr>
        <w:tabs>
          <w:tab w:val="left" w:pos="567"/>
        </w:tabs>
        <w:spacing w:before="0" w:after="140" w:line="280" w:lineRule="atLeast"/>
        <w:ind w:left="426" w:hanging="426"/>
        <w:contextualSpacing w:val="0"/>
        <w:jc w:val="left"/>
        <w:rPr>
          <w:rFonts w:ascii="Gill Sans MT" w:hAnsi="Gill Sans MT"/>
          <w:sz w:val="22"/>
        </w:rPr>
      </w:pPr>
      <w:r w:rsidRPr="00A12FD2">
        <w:rPr>
          <w:rFonts w:ascii="Gill Sans MT" w:hAnsi="Gill Sans MT"/>
          <w:sz w:val="22"/>
        </w:rPr>
        <w:t xml:space="preserve">35 sporting clubs are implementing Illegal Drugs Policies including the Northern Tasmanian Football League, which is the first association in Tasmania to fully embrace the policy implementation process and mandate that all member clubs must have an up-to-date illegal drugs policy. </w:t>
      </w:r>
    </w:p>
    <w:p w14:paraId="03F44EB4" w14:textId="77777777" w:rsidR="0028255F" w:rsidRPr="00A12FD2" w:rsidRDefault="0028255F" w:rsidP="00962BF9">
      <w:pPr>
        <w:pStyle w:val="ListParagraph"/>
        <w:widowControl w:val="0"/>
        <w:numPr>
          <w:ilvl w:val="0"/>
          <w:numId w:val="39"/>
        </w:numPr>
        <w:tabs>
          <w:tab w:val="left" w:pos="567"/>
        </w:tabs>
        <w:spacing w:before="0" w:after="140" w:line="280" w:lineRule="atLeast"/>
        <w:ind w:left="426" w:hanging="426"/>
        <w:contextualSpacing w:val="0"/>
        <w:jc w:val="left"/>
        <w:rPr>
          <w:rFonts w:ascii="Gill Sans MT" w:hAnsi="Gill Sans MT"/>
          <w:sz w:val="22"/>
        </w:rPr>
      </w:pPr>
      <w:r w:rsidRPr="00A12FD2">
        <w:rPr>
          <w:rFonts w:ascii="Gill Sans MT" w:hAnsi="Gill Sans MT"/>
          <w:sz w:val="22"/>
        </w:rPr>
        <w:t>Changes in funding in Tasmania will see the Tackling Illegal Drugs program being integrated into the overall enhanced Good Sports range of programs, which over time will help increase club skills and preparedness to deal with illegal drugs as well as alcohol and tobacco and healthy eating</w:t>
      </w:r>
    </w:p>
    <w:p w14:paraId="4E7BFE4C" w14:textId="77777777" w:rsidR="00F078F8" w:rsidRDefault="00A12FD2" w:rsidP="00962BF9">
      <w:pPr>
        <w:pStyle w:val="ListBullet"/>
        <w:widowControl w:val="0"/>
        <w:numPr>
          <w:ilvl w:val="0"/>
          <w:numId w:val="39"/>
        </w:numPr>
        <w:spacing w:line="280" w:lineRule="atLeast"/>
        <w:ind w:left="426" w:hanging="426"/>
      </w:pPr>
      <w:r>
        <w:t xml:space="preserve">Good Sports Enhanced Community Clubs Program in Tasmania started in 2018-19. It expanded the existing Good Sports, Health Minds and Tackling Illegal Drugs and includes new Good Sports Junior; Good Sports Healthy Eating; and Healthy Sports Grants.  Good Sports Junior encourages sporting clubs to adopt practices aimed at removing alcohol and tobacco from junior sports, improving </w:t>
      </w:r>
      <w:r w:rsidRPr="0098316B">
        <w:t>spectator behaviour and encouraging healthy food options.</w:t>
      </w:r>
      <w:r>
        <w:t xml:space="preserve"> Good Sports Health</w:t>
      </w:r>
      <w:r w:rsidR="00F078F8">
        <w:t>y</w:t>
      </w:r>
      <w:r>
        <w:t xml:space="preserve"> Eating advises and influences </w:t>
      </w:r>
      <w:r w:rsidRPr="0098316B">
        <w:rPr>
          <w:lang w:eastAsia="en-AU"/>
        </w:rPr>
        <w:t xml:space="preserve">clubs to promote healthy eating amongst club membership, spectators and players by </w:t>
      </w:r>
      <w:r w:rsidRPr="0098316B">
        <w:rPr>
          <w:lang w:eastAsia="en-AU"/>
        </w:rPr>
        <w:lastRenderedPageBreak/>
        <w:t>providing healthy food alternatives at the club canteen, BBQ or at fundraising events.</w:t>
      </w:r>
      <w:r>
        <w:rPr>
          <w:lang w:eastAsia="en-AU"/>
        </w:rPr>
        <w:t xml:space="preserve"> </w:t>
      </w:r>
    </w:p>
    <w:p w14:paraId="05D77837" w14:textId="77777777" w:rsidR="00337402" w:rsidRDefault="00A12FD2" w:rsidP="00962BF9">
      <w:pPr>
        <w:pStyle w:val="ListBullet"/>
        <w:widowControl w:val="0"/>
        <w:numPr>
          <w:ilvl w:val="0"/>
          <w:numId w:val="39"/>
        </w:numPr>
        <w:spacing w:line="280" w:lineRule="atLeast"/>
        <w:ind w:left="426" w:hanging="426"/>
      </w:pPr>
      <w:r>
        <w:rPr>
          <w:lang w:eastAsia="en-AU"/>
        </w:rPr>
        <w:t>The Healthy Sports Grants program has e</w:t>
      </w:r>
      <w:r w:rsidRPr="0098316B">
        <w:rPr>
          <w:lang w:eastAsia="en-AU"/>
        </w:rPr>
        <w:t>stablish</w:t>
      </w:r>
      <w:r>
        <w:rPr>
          <w:lang w:eastAsia="en-AU"/>
        </w:rPr>
        <w:t>ed</w:t>
      </w:r>
      <w:r w:rsidRPr="0098316B">
        <w:rPr>
          <w:lang w:eastAsia="en-AU"/>
        </w:rPr>
        <w:t xml:space="preserve"> a primary prevention direct funding program for clubs </w:t>
      </w:r>
      <w:r w:rsidR="00F078F8">
        <w:rPr>
          <w:lang w:eastAsia="en-AU"/>
        </w:rPr>
        <w:t>in Tasmania to improve the health of members by providing access to education, resources and equipment.</w:t>
      </w:r>
      <w:r w:rsidRPr="0098316B">
        <w:rPr>
          <w:lang w:eastAsia="en-AU"/>
        </w:rPr>
        <w:t xml:space="preserve"> </w:t>
      </w:r>
    </w:p>
    <w:p w14:paraId="592A9670" w14:textId="639B2143" w:rsidR="0093525B" w:rsidRPr="00043B5E" w:rsidRDefault="0093525B" w:rsidP="00043B5E">
      <w:pPr>
        <w:pStyle w:val="ListBullet"/>
        <w:widowControl w:val="0"/>
        <w:numPr>
          <w:ilvl w:val="0"/>
          <w:numId w:val="0"/>
        </w:numPr>
        <w:spacing w:line="280" w:lineRule="atLeast"/>
        <w:rPr>
          <w:i/>
          <w:lang w:eastAsia="en-AU"/>
        </w:rPr>
      </w:pPr>
      <w:r w:rsidRPr="00043B5E">
        <w:rPr>
          <w:i/>
          <w:lang w:eastAsia="en-AU"/>
        </w:rPr>
        <w:t>Illicit Drug Diversion Initiative (IDDI)</w:t>
      </w:r>
    </w:p>
    <w:p w14:paraId="59E1CABA" w14:textId="237CF181" w:rsidR="007730D3" w:rsidRPr="0093525B" w:rsidRDefault="000540C7" w:rsidP="00DF6BFB">
      <w:pPr>
        <w:pStyle w:val="ListBullet"/>
        <w:widowControl w:val="0"/>
        <w:numPr>
          <w:ilvl w:val="0"/>
          <w:numId w:val="39"/>
        </w:numPr>
        <w:spacing w:line="280" w:lineRule="atLeast"/>
        <w:ind w:left="426" w:hanging="426"/>
        <w:rPr>
          <w:lang w:eastAsia="en-AU"/>
        </w:rPr>
      </w:pPr>
      <w:r>
        <w:rPr>
          <w:lang w:eastAsia="en-AU"/>
        </w:rPr>
        <w:t>The Tasmania Police Illicit Drug Diversion Initiative (IDDI)</w:t>
      </w:r>
      <w:r w:rsidR="002A316C" w:rsidRPr="00043B5E">
        <w:rPr>
          <w:lang w:eastAsia="en-AU"/>
        </w:rPr>
        <w:t xml:space="preserve"> is a health-based diversion program which targets adult minor drug offenders. A Drug Caution/</w:t>
      </w:r>
      <w:r w:rsidR="00261BDC" w:rsidRPr="00261BDC">
        <w:rPr>
          <w:lang w:eastAsia="en-AU"/>
        </w:rPr>
        <w:t>Diversion Notice may be</w:t>
      </w:r>
      <w:r w:rsidR="002A316C" w:rsidRPr="00043B5E">
        <w:rPr>
          <w:lang w:eastAsia="en-AU"/>
        </w:rPr>
        <w:t xml:space="preserve"> issued at the discretion of a police officer for low level and/or first</w:t>
      </w:r>
      <w:r w:rsidR="0093525B">
        <w:rPr>
          <w:lang w:eastAsia="en-AU"/>
        </w:rPr>
        <w:t>-</w:t>
      </w:r>
      <w:r w:rsidR="002A316C" w:rsidRPr="00043B5E">
        <w:rPr>
          <w:lang w:eastAsia="en-AU"/>
        </w:rPr>
        <w:t>time users of cannabis, and other illicit drugs.</w:t>
      </w:r>
      <w:r w:rsidR="00261BDC">
        <w:rPr>
          <w:lang w:eastAsia="en-AU"/>
        </w:rPr>
        <w:t xml:space="preserve"> </w:t>
      </w:r>
      <w:r w:rsidR="00FC0E52" w:rsidRPr="00357071">
        <w:rPr>
          <w:lang w:eastAsia="en-AU"/>
        </w:rPr>
        <w:t>D</w:t>
      </w:r>
      <w:r w:rsidR="002A316C" w:rsidRPr="00043B5E">
        <w:rPr>
          <w:lang w:eastAsia="en-AU"/>
        </w:rPr>
        <w:t>iversions are referred to Alcoh</w:t>
      </w:r>
      <w:r w:rsidRPr="000540C7">
        <w:rPr>
          <w:lang w:eastAsia="en-AU"/>
        </w:rPr>
        <w:t>ol and Drug Services (ADS)</w:t>
      </w:r>
      <w:r w:rsidR="002A316C" w:rsidRPr="00043B5E">
        <w:rPr>
          <w:lang w:eastAsia="en-AU"/>
        </w:rPr>
        <w:t xml:space="preserve"> for provision of </w:t>
      </w:r>
      <w:r w:rsidR="00357071">
        <w:rPr>
          <w:lang w:eastAsia="en-AU"/>
        </w:rPr>
        <w:t>assessment,</w:t>
      </w:r>
      <w:r w:rsidR="002A316C" w:rsidRPr="00043B5E">
        <w:rPr>
          <w:lang w:eastAsia="en-AU"/>
        </w:rPr>
        <w:t xml:space="preserve"> brief intervention</w:t>
      </w:r>
      <w:r w:rsidR="00357071" w:rsidRPr="003B719B">
        <w:rPr>
          <w:lang w:eastAsia="en-AU"/>
        </w:rPr>
        <w:t xml:space="preserve"> or </w:t>
      </w:r>
      <w:r w:rsidR="00357071">
        <w:rPr>
          <w:lang w:eastAsia="en-AU"/>
        </w:rPr>
        <w:t>treatment</w:t>
      </w:r>
      <w:r w:rsidR="002A316C" w:rsidRPr="00043B5E">
        <w:rPr>
          <w:lang w:eastAsia="en-AU"/>
        </w:rPr>
        <w:t>.</w:t>
      </w:r>
      <w:r w:rsidR="003B719B">
        <w:rPr>
          <w:lang w:eastAsia="en-AU"/>
        </w:rPr>
        <w:t xml:space="preserve"> Drug diversion aims to connect drug users with health providers to improve health </w:t>
      </w:r>
      <w:r w:rsidR="003B719B" w:rsidRPr="0093525B">
        <w:rPr>
          <w:lang w:eastAsia="en-AU"/>
        </w:rPr>
        <w:t>outcomes and p</w:t>
      </w:r>
      <w:r w:rsidR="00D21DCB" w:rsidRPr="0093525B">
        <w:rPr>
          <w:lang w:eastAsia="en-AU"/>
        </w:rPr>
        <w:t>revent continuing substance users.</w:t>
      </w:r>
    </w:p>
    <w:p w14:paraId="24A83BBF" w14:textId="199BC6B3" w:rsidR="0093525B" w:rsidRPr="00043B5E" w:rsidRDefault="0093525B" w:rsidP="006F7697">
      <w:pPr>
        <w:pStyle w:val="ListParagraph"/>
        <w:numPr>
          <w:ilvl w:val="1"/>
          <w:numId w:val="68"/>
        </w:numPr>
        <w:spacing w:before="0" w:after="140" w:line="280" w:lineRule="atLeast"/>
        <w:ind w:left="426" w:hanging="426"/>
        <w:jc w:val="left"/>
        <w:rPr>
          <w:rFonts w:ascii="Gill Sans MT" w:hAnsi="Gill Sans MT"/>
          <w:sz w:val="22"/>
          <w:lang w:eastAsia="ja-JP"/>
        </w:rPr>
      </w:pPr>
      <w:r w:rsidRPr="00043B5E">
        <w:rPr>
          <w:rFonts w:ascii="Gill Sans MT" w:hAnsi="Gill Sans MT"/>
          <w:sz w:val="22"/>
          <w:lang w:eastAsia="ja-JP"/>
        </w:rPr>
        <w:t xml:space="preserve">The number of drug diversions issued during the reporting period continued to decline. A review by Tasmania Police of the program commenced in 2018 in response to the recommendation 31 of the </w:t>
      </w:r>
      <w:r w:rsidRPr="00043B5E">
        <w:rPr>
          <w:rFonts w:ascii="Gill Sans MT" w:hAnsi="Gill Sans MT"/>
          <w:i/>
          <w:sz w:val="22"/>
          <w:lang w:eastAsia="ja-JP"/>
        </w:rPr>
        <w:t>National Ice Action Strategy</w:t>
      </w:r>
      <w:r w:rsidRPr="00043B5E">
        <w:rPr>
          <w:rFonts w:ascii="Gill Sans MT" w:hAnsi="Gill Sans MT"/>
          <w:sz w:val="22"/>
          <w:lang w:eastAsia="ja-JP"/>
        </w:rPr>
        <w:t xml:space="preserve"> to ‘Conduct a national review of drug diversionary programs to inform best practice approaches and options for improving and expanding existing arrangements.’ Consideration of the first comprehensive research and analysis of the </w:t>
      </w:r>
      <w:hyperlink r:id="rId27" w:history="1">
        <w:r w:rsidRPr="00043B5E">
          <w:rPr>
            <w:rStyle w:val="Hyperlink"/>
            <w:rFonts w:ascii="Gill Sans MT" w:hAnsi="Gill Sans MT"/>
            <w:sz w:val="22"/>
            <w:lang w:eastAsia="ja-JP"/>
          </w:rPr>
          <w:t>Australian crim</w:t>
        </w:r>
        <w:r w:rsidRPr="00043B5E">
          <w:rPr>
            <w:rStyle w:val="Hyperlink"/>
            <w:rFonts w:ascii="Gill Sans MT" w:hAnsi="Gill Sans MT"/>
            <w:sz w:val="22"/>
            <w:lang w:eastAsia="ja-JP"/>
          </w:rPr>
          <w:t>inal justice responses relating to personal use and possession of illicit drugs, and the reach of Australian</w:t>
        </w:r>
        <w:r w:rsidRPr="00043B5E">
          <w:rPr>
            <w:rStyle w:val="Hyperlink"/>
            <w:rFonts w:ascii="Gill Sans MT" w:hAnsi="Gill Sans MT"/>
            <w:sz w:val="22"/>
            <w:lang w:eastAsia="ja-JP"/>
          </w:rPr>
          <w:t xml:space="preserve"> </w:t>
        </w:r>
        <w:r w:rsidRPr="00043B5E">
          <w:rPr>
            <w:rStyle w:val="Hyperlink"/>
            <w:rFonts w:ascii="Gill Sans MT" w:hAnsi="Gill Sans MT"/>
            <w:sz w:val="22"/>
            <w:lang w:eastAsia="ja-JP"/>
          </w:rPr>
          <w:t>drug diversion programs</w:t>
        </w:r>
      </w:hyperlink>
      <w:r w:rsidRPr="00043B5E">
        <w:rPr>
          <w:rFonts w:ascii="Gill Sans MT" w:hAnsi="Gill Sans MT"/>
          <w:sz w:val="22"/>
          <w:lang w:eastAsia="ja-JP"/>
        </w:rPr>
        <w:t xml:space="preserve"> </w:t>
      </w:r>
      <w:r w:rsidR="003F1529">
        <w:rPr>
          <w:rFonts w:ascii="Gill Sans MT" w:hAnsi="Gill Sans MT"/>
          <w:sz w:val="22"/>
          <w:lang w:eastAsia="ja-JP"/>
        </w:rPr>
        <w:t>(</w:t>
      </w:r>
      <w:r w:rsidR="003F1529" w:rsidRPr="003F1529">
        <w:rPr>
          <w:rFonts w:ascii="Gill Sans MT" w:hAnsi="Gill Sans MT"/>
          <w:sz w:val="22"/>
          <w:lang w:eastAsia="ja-JP"/>
        </w:rPr>
        <w:t>http://doi.org/10.26190/5cca661ce09ce</w:t>
      </w:r>
      <w:r w:rsidR="003F1529">
        <w:rPr>
          <w:rFonts w:ascii="Gill Sans MT" w:hAnsi="Gill Sans MT"/>
          <w:sz w:val="22"/>
          <w:lang w:eastAsia="ja-JP"/>
        </w:rPr>
        <w:t xml:space="preserve">) </w:t>
      </w:r>
      <w:r w:rsidR="004A4A7A">
        <w:rPr>
          <w:rFonts w:ascii="Gill Sans MT" w:hAnsi="Gill Sans MT"/>
          <w:sz w:val="22"/>
          <w:lang w:eastAsia="ja-JP"/>
        </w:rPr>
        <w:t>(</w:t>
      </w:r>
      <w:r w:rsidR="00BD4CC7">
        <w:rPr>
          <w:rFonts w:ascii="Gill Sans MT" w:hAnsi="Gill Sans MT"/>
          <w:sz w:val="22"/>
          <w:lang w:eastAsia="ja-JP"/>
        </w:rPr>
        <w:t xml:space="preserve">(Hughes et al, 2019) </w:t>
      </w:r>
      <w:r w:rsidRPr="00043B5E">
        <w:rPr>
          <w:rFonts w:ascii="Gill Sans MT" w:hAnsi="Gill Sans MT"/>
          <w:sz w:val="22"/>
          <w:lang w:eastAsia="ja-JP"/>
        </w:rPr>
        <w:t>will be considered prior to the commencement of implementation planning.</w:t>
      </w:r>
    </w:p>
    <w:p w14:paraId="6508E2E7" w14:textId="77777777" w:rsidR="0093525B" w:rsidRPr="00342243" w:rsidRDefault="0093525B" w:rsidP="0093525B">
      <w:pPr>
        <w:widowControl w:val="0"/>
        <w:spacing w:line="280" w:lineRule="atLeast"/>
        <w:rPr>
          <w:b/>
          <w:highlight w:val="yellow"/>
          <w:lang w:eastAsia="ja-JP"/>
        </w:rPr>
      </w:pPr>
      <w:r w:rsidRPr="00342243">
        <w:rPr>
          <w:rFonts w:cs="Calibri"/>
          <w:b/>
          <w:i/>
          <w:iCs/>
          <w:color w:val="000000"/>
          <w:sz w:val="20"/>
          <w:szCs w:val="20"/>
          <w:lang w:eastAsia="en-AU"/>
        </w:rPr>
        <w:t>Number of drug diversions issued under the Tasmania Police Illicit Drug Diversion Initiative (IDDI)</w:t>
      </w:r>
    </w:p>
    <w:tbl>
      <w:tblPr>
        <w:tblW w:w="8097" w:type="dxa"/>
        <w:jc w:val="center"/>
        <w:tblLook w:val="04A0" w:firstRow="1" w:lastRow="0" w:firstColumn="1" w:lastColumn="0" w:noHBand="0" w:noVBand="1"/>
      </w:tblPr>
      <w:tblGrid>
        <w:gridCol w:w="960"/>
        <w:gridCol w:w="1818"/>
        <w:gridCol w:w="2086"/>
        <w:gridCol w:w="1987"/>
        <w:gridCol w:w="1246"/>
      </w:tblGrid>
      <w:tr w:rsidR="0093525B" w:rsidRPr="0059733F" w14:paraId="01C18B06" w14:textId="77777777" w:rsidTr="001B65C6">
        <w:trPr>
          <w:trHeight w:val="61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5B3ED" w14:textId="77777777" w:rsidR="0093525B" w:rsidRPr="007316EB" w:rsidRDefault="0093525B" w:rsidP="004657DA">
            <w:pPr>
              <w:spacing w:after="0" w:line="240" w:lineRule="auto"/>
              <w:rPr>
                <w:rFonts w:cs="Calibri"/>
                <w:i/>
                <w:iCs/>
                <w:color w:val="000000"/>
                <w:sz w:val="20"/>
                <w:szCs w:val="20"/>
                <w:lang w:eastAsia="en-AU"/>
              </w:rPr>
            </w:pPr>
          </w:p>
        </w:tc>
        <w:tc>
          <w:tcPr>
            <w:tcW w:w="1818" w:type="dxa"/>
            <w:tcBorders>
              <w:top w:val="single" w:sz="4" w:space="0" w:color="auto"/>
              <w:left w:val="nil"/>
              <w:bottom w:val="single" w:sz="4" w:space="0" w:color="auto"/>
              <w:right w:val="single" w:sz="4" w:space="0" w:color="auto"/>
            </w:tcBorders>
            <w:shd w:val="clear" w:color="auto" w:fill="auto"/>
            <w:vAlign w:val="bottom"/>
            <w:hideMark/>
          </w:tcPr>
          <w:p w14:paraId="0D04562E" w14:textId="77777777" w:rsidR="0093525B" w:rsidRPr="007316EB" w:rsidRDefault="0093525B" w:rsidP="004657DA">
            <w:pPr>
              <w:tabs>
                <w:tab w:val="clear" w:pos="567"/>
              </w:tabs>
              <w:spacing w:after="0" w:line="240" w:lineRule="auto"/>
              <w:jc w:val="right"/>
              <w:rPr>
                <w:rFonts w:cs="Calibri"/>
                <w:b/>
                <w:color w:val="000000"/>
                <w:lang w:eastAsia="en-AU"/>
              </w:rPr>
            </w:pPr>
            <w:r w:rsidRPr="007316EB">
              <w:rPr>
                <w:rFonts w:cs="Calibri"/>
                <w:b/>
                <w:color w:val="000000"/>
                <w:lang w:eastAsia="en-AU"/>
              </w:rPr>
              <w:t>1st Level Caution</w:t>
            </w:r>
          </w:p>
        </w:tc>
        <w:tc>
          <w:tcPr>
            <w:tcW w:w="2086" w:type="dxa"/>
            <w:tcBorders>
              <w:top w:val="single" w:sz="4" w:space="0" w:color="auto"/>
              <w:left w:val="nil"/>
              <w:bottom w:val="single" w:sz="4" w:space="0" w:color="auto"/>
              <w:right w:val="single" w:sz="4" w:space="0" w:color="auto"/>
            </w:tcBorders>
            <w:shd w:val="clear" w:color="auto" w:fill="auto"/>
            <w:vAlign w:val="bottom"/>
            <w:hideMark/>
          </w:tcPr>
          <w:p w14:paraId="7A6AD655" w14:textId="77777777" w:rsidR="0093525B" w:rsidRPr="007316EB" w:rsidRDefault="0093525B" w:rsidP="004657DA">
            <w:pPr>
              <w:tabs>
                <w:tab w:val="clear" w:pos="567"/>
              </w:tabs>
              <w:spacing w:after="0" w:line="240" w:lineRule="auto"/>
              <w:jc w:val="right"/>
              <w:rPr>
                <w:rFonts w:cs="Calibri"/>
                <w:b/>
                <w:color w:val="000000"/>
                <w:lang w:eastAsia="en-AU"/>
              </w:rPr>
            </w:pPr>
            <w:r w:rsidRPr="007316EB">
              <w:rPr>
                <w:rFonts w:cs="Calibri"/>
                <w:b/>
                <w:color w:val="000000"/>
                <w:lang w:eastAsia="en-AU"/>
              </w:rPr>
              <w:t>2nd Level Diversion</w:t>
            </w:r>
          </w:p>
        </w:tc>
        <w:tc>
          <w:tcPr>
            <w:tcW w:w="1987" w:type="dxa"/>
            <w:tcBorders>
              <w:top w:val="single" w:sz="4" w:space="0" w:color="auto"/>
              <w:left w:val="nil"/>
              <w:bottom w:val="single" w:sz="4" w:space="0" w:color="auto"/>
              <w:right w:val="single" w:sz="4" w:space="0" w:color="auto"/>
            </w:tcBorders>
            <w:shd w:val="clear" w:color="auto" w:fill="auto"/>
            <w:vAlign w:val="bottom"/>
            <w:hideMark/>
          </w:tcPr>
          <w:p w14:paraId="6FAD80D9" w14:textId="77777777" w:rsidR="0093525B" w:rsidRPr="007316EB" w:rsidRDefault="0093525B" w:rsidP="004657DA">
            <w:pPr>
              <w:tabs>
                <w:tab w:val="clear" w:pos="567"/>
              </w:tabs>
              <w:spacing w:after="0" w:line="240" w:lineRule="auto"/>
              <w:jc w:val="right"/>
              <w:rPr>
                <w:rFonts w:cs="Calibri"/>
                <w:b/>
                <w:color w:val="000000"/>
                <w:lang w:eastAsia="en-AU"/>
              </w:rPr>
            </w:pPr>
            <w:r w:rsidRPr="007316EB">
              <w:rPr>
                <w:rFonts w:cs="Calibri"/>
                <w:b/>
                <w:color w:val="000000"/>
                <w:lang w:eastAsia="en-AU"/>
              </w:rPr>
              <w:t>3rd Level Diversion</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6E34FC57" w14:textId="77777777" w:rsidR="0093525B" w:rsidRPr="007316EB" w:rsidRDefault="0093525B" w:rsidP="004657DA">
            <w:pPr>
              <w:tabs>
                <w:tab w:val="clear" w:pos="567"/>
              </w:tabs>
              <w:spacing w:after="0" w:line="240" w:lineRule="auto"/>
              <w:jc w:val="right"/>
              <w:rPr>
                <w:rFonts w:cs="Calibri"/>
                <w:b/>
                <w:color w:val="000000"/>
                <w:lang w:eastAsia="en-AU"/>
              </w:rPr>
            </w:pPr>
            <w:r w:rsidRPr="007316EB">
              <w:rPr>
                <w:rFonts w:cs="Calibri"/>
                <w:b/>
                <w:color w:val="000000"/>
                <w:lang w:eastAsia="en-AU"/>
              </w:rPr>
              <w:t>Total</w:t>
            </w:r>
          </w:p>
        </w:tc>
      </w:tr>
      <w:tr w:rsidR="0093525B" w:rsidRPr="0059733F" w14:paraId="5CCEEE77" w14:textId="77777777" w:rsidTr="00043B5E">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8FF0A91" w14:textId="77777777" w:rsidR="0093525B" w:rsidRPr="007316EB" w:rsidRDefault="0093525B" w:rsidP="004657DA">
            <w:pPr>
              <w:tabs>
                <w:tab w:val="clear" w:pos="567"/>
              </w:tabs>
              <w:spacing w:after="0" w:line="240" w:lineRule="auto"/>
              <w:rPr>
                <w:rFonts w:cs="Calibri"/>
                <w:color w:val="000000"/>
                <w:lang w:eastAsia="en-AU"/>
              </w:rPr>
            </w:pPr>
            <w:r w:rsidRPr="007316EB">
              <w:rPr>
                <w:rFonts w:cs="Calibri"/>
                <w:color w:val="000000"/>
                <w:lang w:eastAsia="en-AU"/>
              </w:rPr>
              <w:t>2013-14</w:t>
            </w:r>
          </w:p>
        </w:tc>
        <w:tc>
          <w:tcPr>
            <w:tcW w:w="1818" w:type="dxa"/>
            <w:tcBorders>
              <w:top w:val="nil"/>
              <w:left w:val="nil"/>
              <w:bottom w:val="single" w:sz="4" w:space="0" w:color="auto"/>
              <w:right w:val="single" w:sz="4" w:space="0" w:color="auto"/>
            </w:tcBorders>
            <w:shd w:val="clear" w:color="auto" w:fill="auto"/>
            <w:vAlign w:val="center"/>
            <w:hideMark/>
          </w:tcPr>
          <w:p w14:paraId="6B454F04"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475</w:t>
            </w:r>
          </w:p>
        </w:tc>
        <w:tc>
          <w:tcPr>
            <w:tcW w:w="2086" w:type="dxa"/>
            <w:tcBorders>
              <w:top w:val="nil"/>
              <w:left w:val="nil"/>
              <w:bottom w:val="single" w:sz="4" w:space="0" w:color="auto"/>
              <w:right w:val="single" w:sz="4" w:space="0" w:color="auto"/>
            </w:tcBorders>
            <w:shd w:val="clear" w:color="auto" w:fill="auto"/>
            <w:vAlign w:val="center"/>
            <w:hideMark/>
          </w:tcPr>
          <w:p w14:paraId="5CF54469"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127</w:t>
            </w:r>
          </w:p>
        </w:tc>
        <w:tc>
          <w:tcPr>
            <w:tcW w:w="1987" w:type="dxa"/>
            <w:tcBorders>
              <w:top w:val="nil"/>
              <w:left w:val="nil"/>
              <w:bottom w:val="single" w:sz="4" w:space="0" w:color="auto"/>
              <w:right w:val="single" w:sz="4" w:space="0" w:color="auto"/>
            </w:tcBorders>
            <w:shd w:val="clear" w:color="auto" w:fill="auto"/>
            <w:vAlign w:val="center"/>
            <w:hideMark/>
          </w:tcPr>
          <w:p w14:paraId="484E6901"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103</w:t>
            </w:r>
          </w:p>
        </w:tc>
        <w:tc>
          <w:tcPr>
            <w:tcW w:w="1246" w:type="dxa"/>
            <w:tcBorders>
              <w:top w:val="nil"/>
              <w:left w:val="nil"/>
              <w:bottom w:val="single" w:sz="4" w:space="0" w:color="auto"/>
              <w:right w:val="single" w:sz="4" w:space="0" w:color="auto"/>
            </w:tcBorders>
            <w:shd w:val="clear" w:color="auto" w:fill="auto"/>
            <w:vAlign w:val="center"/>
            <w:hideMark/>
          </w:tcPr>
          <w:p w14:paraId="031F24AF" w14:textId="77777777" w:rsidR="0093525B" w:rsidRPr="007316EB" w:rsidRDefault="0093525B" w:rsidP="004657DA">
            <w:pPr>
              <w:tabs>
                <w:tab w:val="clear" w:pos="567"/>
              </w:tabs>
              <w:spacing w:after="0" w:line="240" w:lineRule="auto"/>
              <w:jc w:val="right"/>
              <w:rPr>
                <w:rFonts w:cs="Calibri"/>
                <w:bCs/>
                <w:color w:val="000000"/>
                <w:lang w:eastAsia="en-AU"/>
              </w:rPr>
            </w:pPr>
            <w:r w:rsidRPr="007316EB">
              <w:rPr>
                <w:rFonts w:cs="Calibri"/>
                <w:bCs/>
                <w:color w:val="000000"/>
                <w:lang w:eastAsia="en-AU"/>
              </w:rPr>
              <w:t>705</w:t>
            </w:r>
          </w:p>
        </w:tc>
      </w:tr>
      <w:tr w:rsidR="0093525B" w:rsidRPr="0059733F" w14:paraId="0B6DD27F" w14:textId="77777777" w:rsidTr="00043B5E">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99F4179" w14:textId="77777777" w:rsidR="0093525B" w:rsidRPr="007316EB" w:rsidRDefault="0093525B" w:rsidP="004657DA">
            <w:pPr>
              <w:tabs>
                <w:tab w:val="clear" w:pos="567"/>
              </w:tabs>
              <w:spacing w:after="0" w:line="240" w:lineRule="auto"/>
              <w:rPr>
                <w:rFonts w:cs="Calibri"/>
                <w:color w:val="000000"/>
                <w:lang w:eastAsia="en-AU"/>
              </w:rPr>
            </w:pPr>
            <w:r w:rsidRPr="007316EB">
              <w:rPr>
                <w:rFonts w:cs="Calibri"/>
                <w:color w:val="000000"/>
                <w:lang w:eastAsia="en-AU"/>
              </w:rPr>
              <w:t>2014-15</w:t>
            </w:r>
          </w:p>
        </w:tc>
        <w:tc>
          <w:tcPr>
            <w:tcW w:w="1818" w:type="dxa"/>
            <w:tcBorders>
              <w:top w:val="nil"/>
              <w:left w:val="nil"/>
              <w:bottom w:val="single" w:sz="4" w:space="0" w:color="auto"/>
              <w:right w:val="single" w:sz="4" w:space="0" w:color="auto"/>
            </w:tcBorders>
            <w:shd w:val="clear" w:color="auto" w:fill="auto"/>
            <w:vAlign w:val="center"/>
            <w:hideMark/>
          </w:tcPr>
          <w:p w14:paraId="3D9F7B33"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427</w:t>
            </w:r>
          </w:p>
        </w:tc>
        <w:tc>
          <w:tcPr>
            <w:tcW w:w="2086" w:type="dxa"/>
            <w:tcBorders>
              <w:top w:val="nil"/>
              <w:left w:val="nil"/>
              <w:bottom w:val="single" w:sz="4" w:space="0" w:color="auto"/>
              <w:right w:val="single" w:sz="4" w:space="0" w:color="auto"/>
            </w:tcBorders>
            <w:shd w:val="clear" w:color="auto" w:fill="auto"/>
            <w:vAlign w:val="center"/>
            <w:hideMark/>
          </w:tcPr>
          <w:p w14:paraId="2A462EDE"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132</w:t>
            </w:r>
          </w:p>
        </w:tc>
        <w:tc>
          <w:tcPr>
            <w:tcW w:w="1987" w:type="dxa"/>
            <w:tcBorders>
              <w:top w:val="nil"/>
              <w:left w:val="nil"/>
              <w:bottom w:val="single" w:sz="4" w:space="0" w:color="auto"/>
              <w:right w:val="single" w:sz="4" w:space="0" w:color="auto"/>
            </w:tcBorders>
            <w:shd w:val="clear" w:color="auto" w:fill="auto"/>
            <w:vAlign w:val="center"/>
            <w:hideMark/>
          </w:tcPr>
          <w:p w14:paraId="6180BE3B"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114</w:t>
            </w:r>
          </w:p>
        </w:tc>
        <w:tc>
          <w:tcPr>
            <w:tcW w:w="1246" w:type="dxa"/>
            <w:tcBorders>
              <w:top w:val="nil"/>
              <w:left w:val="nil"/>
              <w:bottom w:val="single" w:sz="4" w:space="0" w:color="auto"/>
              <w:right w:val="single" w:sz="4" w:space="0" w:color="auto"/>
            </w:tcBorders>
            <w:shd w:val="clear" w:color="auto" w:fill="auto"/>
            <w:vAlign w:val="center"/>
            <w:hideMark/>
          </w:tcPr>
          <w:p w14:paraId="230ED77E" w14:textId="77777777" w:rsidR="0093525B" w:rsidRPr="007316EB" w:rsidRDefault="0093525B" w:rsidP="004657DA">
            <w:pPr>
              <w:tabs>
                <w:tab w:val="clear" w:pos="567"/>
              </w:tabs>
              <w:spacing w:after="0" w:line="240" w:lineRule="auto"/>
              <w:jc w:val="right"/>
              <w:rPr>
                <w:rFonts w:cs="Calibri"/>
                <w:bCs/>
                <w:color w:val="000000"/>
                <w:lang w:eastAsia="en-AU"/>
              </w:rPr>
            </w:pPr>
            <w:r w:rsidRPr="007316EB">
              <w:rPr>
                <w:rFonts w:cs="Calibri"/>
                <w:bCs/>
                <w:color w:val="000000"/>
                <w:lang w:eastAsia="en-AU"/>
              </w:rPr>
              <w:t>673</w:t>
            </w:r>
          </w:p>
        </w:tc>
      </w:tr>
      <w:tr w:rsidR="0093525B" w:rsidRPr="0059733F" w14:paraId="32084515" w14:textId="77777777" w:rsidTr="00043B5E">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30FDD3" w14:textId="77777777" w:rsidR="0093525B" w:rsidRPr="007316EB" w:rsidRDefault="0093525B" w:rsidP="004657DA">
            <w:pPr>
              <w:tabs>
                <w:tab w:val="clear" w:pos="567"/>
              </w:tabs>
              <w:spacing w:after="0" w:line="240" w:lineRule="auto"/>
              <w:rPr>
                <w:rFonts w:cs="Calibri"/>
                <w:color w:val="000000"/>
                <w:lang w:eastAsia="en-AU"/>
              </w:rPr>
            </w:pPr>
            <w:r w:rsidRPr="007316EB">
              <w:rPr>
                <w:rFonts w:cs="Calibri"/>
                <w:color w:val="000000"/>
                <w:lang w:eastAsia="en-AU"/>
              </w:rPr>
              <w:t>2015-16</w:t>
            </w:r>
          </w:p>
        </w:tc>
        <w:tc>
          <w:tcPr>
            <w:tcW w:w="1818" w:type="dxa"/>
            <w:tcBorders>
              <w:top w:val="nil"/>
              <w:left w:val="nil"/>
              <w:bottom w:val="single" w:sz="4" w:space="0" w:color="auto"/>
              <w:right w:val="single" w:sz="4" w:space="0" w:color="auto"/>
            </w:tcBorders>
            <w:shd w:val="clear" w:color="auto" w:fill="auto"/>
            <w:vAlign w:val="center"/>
            <w:hideMark/>
          </w:tcPr>
          <w:p w14:paraId="65863728"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448</w:t>
            </w:r>
          </w:p>
        </w:tc>
        <w:tc>
          <w:tcPr>
            <w:tcW w:w="2086" w:type="dxa"/>
            <w:tcBorders>
              <w:top w:val="nil"/>
              <w:left w:val="nil"/>
              <w:bottom w:val="single" w:sz="4" w:space="0" w:color="auto"/>
              <w:right w:val="single" w:sz="4" w:space="0" w:color="auto"/>
            </w:tcBorders>
            <w:shd w:val="clear" w:color="auto" w:fill="auto"/>
            <w:vAlign w:val="center"/>
            <w:hideMark/>
          </w:tcPr>
          <w:p w14:paraId="68FED983"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110</w:t>
            </w:r>
          </w:p>
        </w:tc>
        <w:tc>
          <w:tcPr>
            <w:tcW w:w="1987" w:type="dxa"/>
            <w:tcBorders>
              <w:top w:val="nil"/>
              <w:left w:val="nil"/>
              <w:bottom w:val="single" w:sz="4" w:space="0" w:color="auto"/>
              <w:right w:val="single" w:sz="4" w:space="0" w:color="auto"/>
            </w:tcBorders>
            <w:shd w:val="clear" w:color="auto" w:fill="auto"/>
            <w:vAlign w:val="center"/>
            <w:hideMark/>
          </w:tcPr>
          <w:p w14:paraId="13EB6A95"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114</w:t>
            </w:r>
          </w:p>
        </w:tc>
        <w:tc>
          <w:tcPr>
            <w:tcW w:w="1246" w:type="dxa"/>
            <w:tcBorders>
              <w:top w:val="nil"/>
              <w:left w:val="nil"/>
              <w:bottom w:val="single" w:sz="4" w:space="0" w:color="auto"/>
              <w:right w:val="single" w:sz="4" w:space="0" w:color="auto"/>
            </w:tcBorders>
            <w:shd w:val="clear" w:color="auto" w:fill="auto"/>
            <w:vAlign w:val="center"/>
            <w:hideMark/>
          </w:tcPr>
          <w:p w14:paraId="4964907F" w14:textId="77777777" w:rsidR="0093525B" w:rsidRPr="007316EB" w:rsidRDefault="0093525B" w:rsidP="004657DA">
            <w:pPr>
              <w:tabs>
                <w:tab w:val="clear" w:pos="567"/>
              </w:tabs>
              <w:spacing w:after="0" w:line="240" w:lineRule="auto"/>
              <w:jc w:val="right"/>
              <w:rPr>
                <w:rFonts w:cs="Calibri"/>
                <w:bCs/>
                <w:color w:val="000000"/>
                <w:lang w:eastAsia="en-AU"/>
              </w:rPr>
            </w:pPr>
            <w:r w:rsidRPr="007316EB">
              <w:rPr>
                <w:rFonts w:cs="Calibri"/>
                <w:bCs/>
                <w:color w:val="000000"/>
                <w:lang w:eastAsia="en-AU"/>
              </w:rPr>
              <w:t>672</w:t>
            </w:r>
          </w:p>
        </w:tc>
      </w:tr>
      <w:tr w:rsidR="0093525B" w:rsidRPr="0059733F" w14:paraId="3E396D7B" w14:textId="77777777" w:rsidTr="00043B5E">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4F1485" w14:textId="77777777" w:rsidR="0093525B" w:rsidRPr="007316EB" w:rsidRDefault="0093525B" w:rsidP="004657DA">
            <w:pPr>
              <w:tabs>
                <w:tab w:val="clear" w:pos="567"/>
              </w:tabs>
              <w:spacing w:after="0" w:line="240" w:lineRule="auto"/>
              <w:rPr>
                <w:rFonts w:cs="Calibri"/>
                <w:color w:val="000000"/>
                <w:lang w:eastAsia="en-AU"/>
              </w:rPr>
            </w:pPr>
            <w:r w:rsidRPr="007316EB">
              <w:rPr>
                <w:rFonts w:cs="Calibri"/>
                <w:color w:val="000000"/>
                <w:lang w:eastAsia="en-AU"/>
              </w:rPr>
              <w:t>2016-17</w:t>
            </w:r>
          </w:p>
        </w:tc>
        <w:tc>
          <w:tcPr>
            <w:tcW w:w="1818" w:type="dxa"/>
            <w:tcBorders>
              <w:top w:val="nil"/>
              <w:left w:val="nil"/>
              <w:bottom w:val="single" w:sz="4" w:space="0" w:color="auto"/>
              <w:right w:val="single" w:sz="4" w:space="0" w:color="auto"/>
            </w:tcBorders>
            <w:shd w:val="clear" w:color="auto" w:fill="auto"/>
            <w:vAlign w:val="center"/>
            <w:hideMark/>
          </w:tcPr>
          <w:p w14:paraId="2ED2D649"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396</w:t>
            </w:r>
          </w:p>
        </w:tc>
        <w:tc>
          <w:tcPr>
            <w:tcW w:w="2086" w:type="dxa"/>
            <w:tcBorders>
              <w:top w:val="nil"/>
              <w:left w:val="nil"/>
              <w:bottom w:val="single" w:sz="4" w:space="0" w:color="auto"/>
              <w:right w:val="single" w:sz="4" w:space="0" w:color="auto"/>
            </w:tcBorders>
            <w:shd w:val="clear" w:color="auto" w:fill="auto"/>
            <w:vAlign w:val="center"/>
            <w:hideMark/>
          </w:tcPr>
          <w:p w14:paraId="69736930"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98</w:t>
            </w:r>
          </w:p>
        </w:tc>
        <w:tc>
          <w:tcPr>
            <w:tcW w:w="1987" w:type="dxa"/>
            <w:tcBorders>
              <w:top w:val="nil"/>
              <w:left w:val="nil"/>
              <w:bottom w:val="single" w:sz="4" w:space="0" w:color="auto"/>
              <w:right w:val="single" w:sz="4" w:space="0" w:color="auto"/>
            </w:tcBorders>
            <w:shd w:val="clear" w:color="auto" w:fill="auto"/>
            <w:vAlign w:val="center"/>
            <w:hideMark/>
          </w:tcPr>
          <w:p w14:paraId="0B974FE6"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112</w:t>
            </w:r>
          </w:p>
        </w:tc>
        <w:tc>
          <w:tcPr>
            <w:tcW w:w="1246" w:type="dxa"/>
            <w:tcBorders>
              <w:top w:val="nil"/>
              <w:left w:val="nil"/>
              <w:bottom w:val="single" w:sz="4" w:space="0" w:color="auto"/>
              <w:right w:val="single" w:sz="4" w:space="0" w:color="auto"/>
            </w:tcBorders>
            <w:shd w:val="clear" w:color="auto" w:fill="auto"/>
            <w:vAlign w:val="center"/>
            <w:hideMark/>
          </w:tcPr>
          <w:p w14:paraId="46E0EEE4" w14:textId="77777777" w:rsidR="0093525B" w:rsidRPr="007316EB" w:rsidRDefault="0093525B" w:rsidP="004657DA">
            <w:pPr>
              <w:tabs>
                <w:tab w:val="clear" w:pos="567"/>
              </w:tabs>
              <w:spacing w:after="0" w:line="240" w:lineRule="auto"/>
              <w:jc w:val="right"/>
              <w:rPr>
                <w:rFonts w:cs="Calibri"/>
                <w:bCs/>
                <w:color w:val="000000"/>
                <w:lang w:eastAsia="en-AU"/>
              </w:rPr>
            </w:pPr>
            <w:r w:rsidRPr="007316EB">
              <w:rPr>
                <w:rFonts w:cs="Calibri"/>
                <w:bCs/>
                <w:color w:val="000000"/>
                <w:lang w:eastAsia="en-AU"/>
              </w:rPr>
              <w:t>606</w:t>
            </w:r>
          </w:p>
        </w:tc>
      </w:tr>
      <w:tr w:rsidR="0093525B" w:rsidRPr="0059733F" w14:paraId="53ADD7C2" w14:textId="77777777" w:rsidTr="00043B5E">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29DA8E" w14:textId="77777777" w:rsidR="0093525B" w:rsidRPr="007316EB" w:rsidRDefault="0093525B" w:rsidP="004657DA">
            <w:pPr>
              <w:tabs>
                <w:tab w:val="clear" w:pos="567"/>
              </w:tabs>
              <w:spacing w:after="0" w:line="240" w:lineRule="auto"/>
              <w:rPr>
                <w:rFonts w:cs="Calibri"/>
                <w:color w:val="000000"/>
                <w:lang w:eastAsia="en-AU"/>
              </w:rPr>
            </w:pPr>
            <w:r w:rsidRPr="007316EB">
              <w:rPr>
                <w:rFonts w:cs="Calibri"/>
                <w:color w:val="000000"/>
                <w:lang w:eastAsia="en-AU"/>
              </w:rPr>
              <w:t>2017-18</w:t>
            </w:r>
          </w:p>
        </w:tc>
        <w:tc>
          <w:tcPr>
            <w:tcW w:w="1818" w:type="dxa"/>
            <w:tcBorders>
              <w:top w:val="nil"/>
              <w:left w:val="nil"/>
              <w:bottom w:val="single" w:sz="4" w:space="0" w:color="auto"/>
              <w:right w:val="single" w:sz="4" w:space="0" w:color="auto"/>
            </w:tcBorders>
            <w:shd w:val="clear" w:color="auto" w:fill="auto"/>
            <w:vAlign w:val="center"/>
            <w:hideMark/>
          </w:tcPr>
          <w:p w14:paraId="2CB24F61"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419</w:t>
            </w:r>
          </w:p>
        </w:tc>
        <w:tc>
          <w:tcPr>
            <w:tcW w:w="2086" w:type="dxa"/>
            <w:tcBorders>
              <w:top w:val="nil"/>
              <w:left w:val="nil"/>
              <w:bottom w:val="single" w:sz="4" w:space="0" w:color="auto"/>
              <w:right w:val="single" w:sz="4" w:space="0" w:color="auto"/>
            </w:tcBorders>
            <w:shd w:val="clear" w:color="auto" w:fill="auto"/>
            <w:vAlign w:val="center"/>
            <w:hideMark/>
          </w:tcPr>
          <w:p w14:paraId="4F9C1541"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84</w:t>
            </w:r>
          </w:p>
        </w:tc>
        <w:tc>
          <w:tcPr>
            <w:tcW w:w="1987" w:type="dxa"/>
            <w:tcBorders>
              <w:top w:val="nil"/>
              <w:left w:val="nil"/>
              <w:bottom w:val="single" w:sz="4" w:space="0" w:color="auto"/>
              <w:right w:val="single" w:sz="4" w:space="0" w:color="auto"/>
            </w:tcBorders>
            <w:shd w:val="clear" w:color="auto" w:fill="auto"/>
            <w:vAlign w:val="center"/>
            <w:hideMark/>
          </w:tcPr>
          <w:p w14:paraId="31E8305C"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123</w:t>
            </w:r>
          </w:p>
        </w:tc>
        <w:tc>
          <w:tcPr>
            <w:tcW w:w="1246" w:type="dxa"/>
            <w:tcBorders>
              <w:top w:val="nil"/>
              <w:left w:val="nil"/>
              <w:bottom w:val="single" w:sz="4" w:space="0" w:color="auto"/>
              <w:right w:val="single" w:sz="4" w:space="0" w:color="auto"/>
            </w:tcBorders>
            <w:shd w:val="clear" w:color="auto" w:fill="auto"/>
            <w:vAlign w:val="center"/>
            <w:hideMark/>
          </w:tcPr>
          <w:p w14:paraId="339419C8" w14:textId="77777777" w:rsidR="0093525B" w:rsidRPr="007316EB" w:rsidRDefault="0093525B" w:rsidP="004657DA">
            <w:pPr>
              <w:tabs>
                <w:tab w:val="clear" w:pos="567"/>
              </w:tabs>
              <w:spacing w:after="0" w:line="240" w:lineRule="auto"/>
              <w:jc w:val="right"/>
              <w:rPr>
                <w:rFonts w:cs="Calibri"/>
                <w:bCs/>
                <w:color w:val="000000"/>
                <w:lang w:eastAsia="en-AU"/>
              </w:rPr>
            </w:pPr>
            <w:r w:rsidRPr="007316EB">
              <w:rPr>
                <w:rFonts w:cs="Calibri"/>
                <w:bCs/>
                <w:color w:val="000000"/>
                <w:lang w:eastAsia="en-AU"/>
              </w:rPr>
              <w:t>626</w:t>
            </w:r>
          </w:p>
        </w:tc>
      </w:tr>
      <w:tr w:rsidR="0093525B" w:rsidRPr="0059733F" w14:paraId="25DB3337" w14:textId="77777777" w:rsidTr="00043B5E">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F3B1FF7" w14:textId="77777777" w:rsidR="0093525B" w:rsidRPr="007316EB" w:rsidRDefault="0093525B" w:rsidP="004657DA">
            <w:pPr>
              <w:tabs>
                <w:tab w:val="clear" w:pos="567"/>
              </w:tabs>
              <w:spacing w:after="0" w:line="240" w:lineRule="auto"/>
              <w:rPr>
                <w:rFonts w:cs="Calibri"/>
                <w:color w:val="000000"/>
                <w:lang w:eastAsia="en-AU"/>
              </w:rPr>
            </w:pPr>
            <w:r w:rsidRPr="007316EB">
              <w:rPr>
                <w:rFonts w:cs="Calibri"/>
                <w:color w:val="000000"/>
                <w:lang w:eastAsia="en-AU"/>
              </w:rPr>
              <w:t>2018-19</w:t>
            </w:r>
          </w:p>
        </w:tc>
        <w:tc>
          <w:tcPr>
            <w:tcW w:w="1818" w:type="dxa"/>
            <w:tcBorders>
              <w:top w:val="nil"/>
              <w:left w:val="nil"/>
              <w:bottom w:val="single" w:sz="4" w:space="0" w:color="auto"/>
              <w:right w:val="single" w:sz="4" w:space="0" w:color="auto"/>
            </w:tcBorders>
            <w:shd w:val="clear" w:color="auto" w:fill="auto"/>
            <w:vAlign w:val="center"/>
            <w:hideMark/>
          </w:tcPr>
          <w:p w14:paraId="2A46358D"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341</w:t>
            </w:r>
          </w:p>
        </w:tc>
        <w:tc>
          <w:tcPr>
            <w:tcW w:w="2086" w:type="dxa"/>
            <w:tcBorders>
              <w:top w:val="nil"/>
              <w:left w:val="nil"/>
              <w:bottom w:val="single" w:sz="4" w:space="0" w:color="auto"/>
              <w:right w:val="single" w:sz="4" w:space="0" w:color="auto"/>
            </w:tcBorders>
            <w:shd w:val="clear" w:color="auto" w:fill="auto"/>
            <w:vAlign w:val="center"/>
            <w:hideMark/>
          </w:tcPr>
          <w:p w14:paraId="62812E7F"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71</w:t>
            </w:r>
          </w:p>
        </w:tc>
        <w:tc>
          <w:tcPr>
            <w:tcW w:w="1987" w:type="dxa"/>
            <w:tcBorders>
              <w:top w:val="nil"/>
              <w:left w:val="nil"/>
              <w:bottom w:val="single" w:sz="4" w:space="0" w:color="auto"/>
              <w:right w:val="single" w:sz="4" w:space="0" w:color="auto"/>
            </w:tcBorders>
            <w:shd w:val="clear" w:color="auto" w:fill="auto"/>
            <w:vAlign w:val="center"/>
            <w:hideMark/>
          </w:tcPr>
          <w:p w14:paraId="10E1BAE5" w14:textId="77777777" w:rsidR="0093525B" w:rsidRPr="007316EB" w:rsidRDefault="0093525B" w:rsidP="004657DA">
            <w:pPr>
              <w:tabs>
                <w:tab w:val="clear" w:pos="567"/>
              </w:tabs>
              <w:spacing w:after="0" w:line="240" w:lineRule="auto"/>
              <w:jc w:val="right"/>
              <w:rPr>
                <w:rFonts w:cs="Calibri"/>
                <w:color w:val="000000"/>
                <w:lang w:eastAsia="en-AU"/>
              </w:rPr>
            </w:pPr>
            <w:r w:rsidRPr="007316EB">
              <w:rPr>
                <w:rFonts w:cs="Calibri"/>
                <w:color w:val="000000"/>
                <w:lang w:eastAsia="en-AU"/>
              </w:rPr>
              <w:t>126</w:t>
            </w:r>
          </w:p>
        </w:tc>
        <w:tc>
          <w:tcPr>
            <w:tcW w:w="1246" w:type="dxa"/>
            <w:tcBorders>
              <w:top w:val="nil"/>
              <w:left w:val="nil"/>
              <w:bottom w:val="single" w:sz="4" w:space="0" w:color="auto"/>
              <w:right w:val="single" w:sz="4" w:space="0" w:color="auto"/>
            </w:tcBorders>
            <w:shd w:val="clear" w:color="auto" w:fill="auto"/>
            <w:vAlign w:val="center"/>
            <w:hideMark/>
          </w:tcPr>
          <w:p w14:paraId="3ECBA73A" w14:textId="77777777" w:rsidR="0093525B" w:rsidRPr="007316EB" w:rsidRDefault="0093525B" w:rsidP="004657DA">
            <w:pPr>
              <w:tabs>
                <w:tab w:val="clear" w:pos="567"/>
              </w:tabs>
              <w:spacing w:after="0" w:line="240" w:lineRule="auto"/>
              <w:jc w:val="right"/>
              <w:rPr>
                <w:rFonts w:cs="Calibri"/>
                <w:bCs/>
                <w:color w:val="000000"/>
                <w:lang w:eastAsia="en-AU"/>
              </w:rPr>
            </w:pPr>
            <w:r w:rsidRPr="007316EB">
              <w:rPr>
                <w:rFonts w:cs="Calibri"/>
                <w:bCs/>
                <w:color w:val="000000"/>
                <w:lang w:eastAsia="en-AU"/>
              </w:rPr>
              <w:t>538</w:t>
            </w:r>
          </w:p>
        </w:tc>
      </w:tr>
    </w:tbl>
    <w:p w14:paraId="654881F8" w14:textId="77777777" w:rsidR="0093525B" w:rsidRPr="007316EB" w:rsidRDefault="0093525B" w:rsidP="0093525B">
      <w:pPr>
        <w:widowControl w:val="0"/>
        <w:spacing w:line="280" w:lineRule="atLeast"/>
        <w:rPr>
          <w:highlight w:val="yellow"/>
          <w:lang w:eastAsia="ja-JP"/>
        </w:rPr>
      </w:pPr>
      <w:r w:rsidRPr="007316EB">
        <w:rPr>
          <w:rFonts w:cs="Calibri"/>
          <w:i/>
          <w:iCs/>
          <w:color w:val="000000"/>
          <w:sz w:val="20"/>
          <w:szCs w:val="20"/>
          <w:lang w:eastAsia="en-AU"/>
        </w:rPr>
        <w:t>Source: Drug Offence Reporting System (DORS), Tasmania Police</w:t>
      </w:r>
    </w:p>
    <w:p w14:paraId="1F26A66F" w14:textId="77777777" w:rsidR="00EC331E" w:rsidRDefault="00EC331E" w:rsidP="00964180">
      <w:pPr>
        <w:pStyle w:val="Heading1"/>
        <w:keepNext w:val="0"/>
        <w:pageBreakBefore w:val="0"/>
        <w:widowControl w:val="0"/>
        <w:spacing w:before="0"/>
        <w:sectPr w:rsidR="00EC331E" w:rsidSect="007C250C">
          <w:headerReference w:type="even" r:id="rId28"/>
          <w:headerReference w:type="default" r:id="rId29"/>
          <w:headerReference w:type="first" r:id="rId30"/>
          <w:pgSz w:w="11906" w:h="16838" w:code="9"/>
          <w:pgMar w:top="907" w:right="1134" w:bottom="1247" w:left="1134" w:header="709" w:footer="709" w:gutter="0"/>
          <w:cols w:space="708"/>
          <w:docGrid w:linePitch="360"/>
        </w:sectPr>
      </w:pPr>
    </w:p>
    <w:p w14:paraId="28CBB33D" w14:textId="77777777" w:rsidR="00265A90" w:rsidRDefault="00D2003F" w:rsidP="00964180">
      <w:pPr>
        <w:pStyle w:val="Heading1"/>
        <w:keepNext w:val="0"/>
        <w:pageBreakBefore w:val="0"/>
        <w:widowControl w:val="0"/>
        <w:spacing w:before="0"/>
      </w:pPr>
      <w:bookmarkStart w:id="15" w:name="_Toc32915496"/>
      <w:r>
        <w:lastRenderedPageBreak/>
        <w:t>Appendix 1</w:t>
      </w:r>
      <w:bookmarkEnd w:id="15"/>
      <w:r>
        <w:t xml:space="preserve"> </w:t>
      </w:r>
    </w:p>
    <w:p w14:paraId="29A7E681" w14:textId="4CAC8983" w:rsidR="00D2003F" w:rsidRPr="0046057B" w:rsidRDefault="00811F75" w:rsidP="00964180">
      <w:pPr>
        <w:pStyle w:val="Heading2"/>
        <w:spacing w:before="0"/>
      </w:pPr>
      <w:bookmarkStart w:id="16" w:name="_Toc32915497"/>
      <w:r>
        <w:t>Tasmanian a</w:t>
      </w:r>
      <w:r w:rsidR="00D2003F">
        <w:t>lcohol, tobacco and other drugs use data</w:t>
      </w:r>
      <w:bookmarkEnd w:id="16"/>
      <w:r w:rsidR="00D2003F">
        <w:t xml:space="preserve">  </w:t>
      </w:r>
    </w:p>
    <w:p w14:paraId="065582CE" w14:textId="77777777" w:rsidR="00996CFE" w:rsidRPr="004C744B" w:rsidRDefault="00996CFE" w:rsidP="00996CFE">
      <w:pPr>
        <w:pStyle w:val="Heading3"/>
        <w:rPr>
          <w:sz w:val="24"/>
          <w:szCs w:val="24"/>
        </w:rPr>
      </w:pPr>
      <w:r w:rsidRPr="004C744B">
        <w:rPr>
          <w:sz w:val="24"/>
          <w:szCs w:val="24"/>
        </w:rPr>
        <w:t xml:space="preserve">2016 National Drug Strategy Household Survey </w:t>
      </w:r>
    </w:p>
    <w:p w14:paraId="2942B74F" w14:textId="611BE60E" w:rsidR="007D2E3F" w:rsidRDefault="007D2E3F" w:rsidP="00935578">
      <w:pPr>
        <w:spacing w:line="260" w:lineRule="atLeast"/>
        <w:rPr>
          <w:rFonts w:cs="Aharoni"/>
        </w:rPr>
      </w:pPr>
      <w:r>
        <w:rPr>
          <w:rFonts w:cs="Aharoni"/>
        </w:rPr>
        <w:t>T</w:t>
      </w:r>
      <w:r w:rsidRPr="00AB741A">
        <w:rPr>
          <w:rFonts w:cs="Aharoni"/>
        </w:rPr>
        <w:t xml:space="preserve">he Australian Institute of Health and Welfare (AIHW) </w:t>
      </w:r>
      <w:r w:rsidRPr="00996CFE">
        <w:rPr>
          <w:rFonts w:cs="Aharoni"/>
        </w:rPr>
        <w:t>2016 National Drug Strategy Household Survey</w:t>
      </w:r>
      <w:r>
        <w:rPr>
          <w:rFonts w:cs="Aharoni"/>
        </w:rPr>
        <w:t xml:space="preserve"> </w:t>
      </w:r>
      <w:r w:rsidRPr="00AB741A">
        <w:rPr>
          <w:rFonts w:cs="Aharoni"/>
        </w:rPr>
        <w:t>(NDSHS</w:t>
      </w:r>
      <w:r>
        <w:rPr>
          <w:rFonts w:cs="Aharoni"/>
        </w:rPr>
        <w:t xml:space="preserve">) (AIHW, 2017) was the most recent for which data is available.  The next in the triennial surveys was conducted in 2019, however data will not be available until 2020. </w:t>
      </w:r>
      <w:r w:rsidRPr="00AB741A">
        <w:rPr>
          <w:rFonts w:cs="Aharoni"/>
        </w:rPr>
        <w:t xml:space="preserve"> </w:t>
      </w:r>
      <w:r>
        <w:rPr>
          <w:rFonts w:cs="Aharoni"/>
        </w:rPr>
        <w:t>S</w:t>
      </w:r>
      <w:r w:rsidRPr="00AB741A">
        <w:rPr>
          <w:rFonts w:cs="Aharoni"/>
        </w:rPr>
        <w:t>elf-reported alcohol, tobacco and other drug use</w:t>
      </w:r>
      <w:r>
        <w:rPr>
          <w:rFonts w:cs="Aharoni"/>
        </w:rPr>
        <w:t xml:space="preserve"> data for 2016 for Tasmania showed:</w:t>
      </w:r>
    </w:p>
    <w:p w14:paraId="7F7F205F" w14:textId="77777777" w:rsidR="007D2E3F" w:rsidRPr="00AB741A" w:rsidRDefault="007D2E3F" w:rsidP="00935578">
      <w:pPr>
        <w:pStyle w:val="ListParagraph"/>
        <w:widowControl w:val="0"/>
        <w:numPr>
          <w:ilvl w:val="0"/>
          <w:numId w:val="27"/>
        </w:numPr>
        <w:spacing w:before="0" w:after="140" w:line="260" w:lineRule="atLeast"/>
        <w:ind w:left="567" w:hanging="567"/>
        <w:jc w:val="left"/>
        <w:rPr>
          <w:rFonts w:ascii="Gill Sans MT" w:hAnsi="Gill Sans MT" w:cs="Aharoni"/>
          <w:sz w:val="22"/>
        </w:rPr>
      </w:pPr>
      <w:r w:rsidRPr="00AB741A">
        <w:rPr>
          <w:rFonts w:ascii="Gill Sans MT" w:hAnsi="Gill Sans MT"/>
          <w:sz w:val="22"/>
        </w:rPr>
        <w:t>16.0 per cent smoked daily, 41 per cent exceeded the single occasion risk guidelines for alcohol consumption</w:t>
      </w:r>
      <w:r w:rsidRPr="00AB741A">
        <w:rPr>
          <w:rStyle w:val="FootnoteReference"/>
          <w:sz w:val="22"/>
        </w:rPr>
        <w:footnoteReference w:id="1"/>
      </w:r>
      <w:r w:rsidRPr="00AB741A">
        <w:rPr>
          <w:rFonts w:ascii="Gill Sans MT" w:hAnsi="Gill Sans MT"/>
          <w:sz w:val="22"/>
        </w:rPr>
        <w:t xml:space="preserve"> (up from 30 per cent in 2013) and 17.4 per cent reported recent use of any illicit drug (up from 15.1 per cent in 2013), and higher than the national average of 15.6 per cent.  </w:t>
      </w:r>
    </w:p>
    <w:p w14:paraId="4B09D213" w14:textId="77777777" w:rsidR="007D2E3F" w:rsidRPr="00AB741A" w:rsidRDefault="007D2E3F" w:rsidP="00935578">
      <w:pPr>
        <w:pStyle w:val="BulletedListLevel1"/>
        <w:widowControl w:val="0"/>
        <w:spacing w:line="260" w:lineRule="atLeast"/>
        <w:rPr>
          <w:szCs w:val="22"/>
        </w:rPr>
      </w:pPr>
      <w:r w:rsidRPr="00AB741A">
        <w:rPr>
          <w:szCs w:val="22"/>
        </w:rPr>
        <w:t xml:space="preserve">Tasmania reported the least improvement between 2001 and 2016 of daily smokers </w:t>
      </w:r>
      <w:r w:rsidRPr="00CD007A">
        <w:rPr>
          <w:szCs w:val="22"/>
        </w:rPr>
        <w:t>(from 2</w:t>
      </w:r>
      <w:r>
        <w:rPr>
          <w:szCs w:val="22"/>
        </w:rPr>
        <w:t>1.4</w:t>
      </w:r>
      <w:r w:rsidRPr="00CD007A">
        <w:rPr>
          <w:szCs w:val="22"/>
        </w:rPr>
        <w:t xml:space="preserve"> per cent to 16.9 per cent).</w:t>
      </w:r>
      <w:r w:rsidRPr="00AB741A">
        <w:rPr>
          <w:szCs w:val="22"/>
        </w:rPr>
        <w:t xml:space="preserve">  This was the second highest smoking rate after the Northern Territory (17.2 per cent).</w:t>
      </w:r>
    </w:p>
    <w:p w14:paraId="52CCFC97" w14:textId="77777777" w:rsidR="007D2E3F" w:rsidRPr="00AB741A" w:rsidRDefault="007D2E3F" w:rsidP="00935578">
      <w:pPr>
        <w:pStyle w:val="BulletedListLevel1"/>
        <w:widowControl w:val="0"/>
        <w:spacing w:line="260" w:lineRule="atLeast"/>
        <w:rPr>
          <w:szCs w:val="22"/>
        </w:rPr>
      </w:pPr>
      <w:r w:rsidRPr="00AB741A">
        <w:rPr>
          <w:szCs w:val="22"/>
        </w:rPr>
        <w:t>Tasmania had the highest proportion of all states and territories of people in their 20</w:t>
      </w:r>
      <w:r w:rsidR="00307CDF">
        <w:rPr>
          <w:szCs w:val="22"/>
        </w:rPr>
        <w:t>’</w:t>
      </w:r>
      <w:r w:rsidRPr="00AB741A">
        <w:rPr>
          <w:szCs w:val="22"/>
        </w:rPr>
        <w:t>s (20 per cent), 30</w:t>
      </w:r>
      <w:r w:rsidR="00307CDF">
        <w:rPr>
          <w:szCs w:val="22"/>
        </w:rPr>
        <w:t>’</w:t>
      </w:r>
      <w:r w:rsidRPr="00AB741A">
        <w:rPr>
          <w:szCs w:val="22"/>
        </w:rPr>
        <w:t>s (21.4 per cent) and 40</w:t>
      </w:r>
      <w:r w:rsidR="00307CDF">
        <w:rPr>
          <w:szCs w:val="22"/>
        </w:rPr>
        <w:t>’</w:t>
      </w:r>
      <w:r w:rsidRPr="00AB741A">
        <w:rPr>
          <w:szCs w:val="22"/>
        </w:rPr>
        <w:t xml:space="preserve">s (21 per cent) who smoked daily. </w:t>
      </w:r>
    </w:p>
    <w:p w14:paraId="1D0316F5" w14:textId="77777777" w:rsidR="007D2E3F" w:rsidRPr="00AB741A" w:rsidRDefault="007D2E3F" w:rsidP="00935578">
      <w:pPr>
        <w:pStyle w:val="BulletedListLevel1"/>
        <w:widowControl w:val="0"/>
        <w:spacing w:line="260" w:lineRule="atLeast"/>
        <w:rPr>
          <w:szCs w:val="22"/>
        </w:rPr>
      </w:pPr>
      <w:r w:rsidRPr="00AB741A">
        <w:rPr>
          <w:szCs w:val="22"/>
        </w:rPr>
        <w:t>Daily drinking status in Tasmania for those aged 14 years and over was reported by 5.6 per cent</w:t>
      </w:r>
      <w:r>
        <w:rPr>
          <w:szCs w:val="22"/>
        </w:rPr>
        <w:t>,</w:t>
      </w:r>
      <w:r w:rsidRPr="00AB741A">
        <w:rPr>
          <w:szCs w:val="22"/>
        </w:rPr>
        <w:t xml:space="preserve"> and weekly drinking at 37.1 per cent, compared to the national averages of 5.9 per cent and 35.8 per cent respectively. </w:t>
      </w:r>
    </w:p>
    <w:p w14:paraId="1A947046" w14:textId="77777777" w:rsidR="007D2E3F" w:rsidRPr="00AB741A" w:rsidRDefault="007D2E3F" w:rsidP="00935578">
      <w:pPr>
        <w:pStyle w:val="BulletedListLevel1"/>
        <w:widowControl w:val="0"/>
        <w:spacing w:line="260" w:lineRule="atLeast"/>
        <w:rPr>
          <w:szCs w:val="22"/>
        </w:rPr>
      </w:pPr>
      <w:r w:rsidRPr="00AB741A">
        <w:rPr>
          <w:szCs w:val="22"/>
        </w:rPr>
        <w:t xml:space="preserve">The rate of single occasion risky drinking (more than 4 standard drinks at least once a week) was 14.4 per cent (down slightly from 16.1 per cent in 2016). </w:t>
      </w:r>
    </w:p>
    <w:p w14:paraId="4BA3FAE8" w14:textId="77777777" w:rsidR="007D2E3F" w:rsidRPr="00AB741A" w:rsidRDefault="007D2E3F" w:rsidP="00935578">
      <w:pPr>
        <w:pStyle w:val="BulletedListLevel1"/>
        <w:widowControl w:val="0"/>
        <w:spacing w:line="260" w:lineRule="atLeast"/>
        <w:rPr>
          <w:szCs w:val="22"/>
        </w:rPr>
      </w:pPr>
      <w:r w:rsidRPr="00AB741A">
        <w:rPr>
          <w:szCs w:val="22"/>
        </w:rPr>
        <w:t>Use of any illicit drug</w:t>
      </w:r>
      <w:r w:rsidRPr="00AB741A">
        <w:rPr>
          <w:rStyle w:val="FootnoteReference"/>
          <w:szCs w:val="22"/>
        </w:rPr>
        <w:footnoteReference w:id="2"/>
      </w:r>
      <w:r w:rsidRPr="00AB741A">
        <w:rPr>
          <w:szCs w:val="22"/>
        </w:rPr>
        <w:t xml:space="preserve"> increased in Tasmania from 12.0 per cent in 2010 and 15.1 per cent in 2013 to 17.4 per cent in 2016.  This is now higher than the national average of 15.6 per cent, and the second highest of all states and territories after the Northern Territory (21.6 per cent).</w:t>
      </w:r>
    </w:p>
    <w:p w14:paraId="6CDD6913" w14:textId="77777777" w:rsidR="007D2E3F" w:rsidRPr="00AB741A" w:rsidRDefault="007D2E3F" w:rsidP="00935578">
      <w:pPr>
        <w:pStyle w:val="BulletedListLevel1"/>
        <w:widowControl w:val="0"/>
        <w:tabs>
          <w:tab w:val="left" w:pos="567"/>
        </w:tabs>
        <w:spacing w:line="260" w:lineRule="atLeast"/>
        <w:rPr>
          <w:szCs w:val="22"/>
        </w:rPr>
      </w:pPr>
      <w:r w:rsidRPr="00AB741A">
        <w:rPr>
          <w:szCs w:val="22"/>
        </w:rPr>
        <w:t>Cannabis at 12.4 per cent is the illicit drug most commonly used, followed by any pharmaceutical</w:t>
      </w:r>
      <w:r>
        <w:rPr>
          <w:szCs w:val="22"/>
        </w:rPr>
        <w:t>s</w:t>
      </w:r>
      <w:r w:rsidRPr="00AB741A">
        <w:rPr>
          <w:szCs w:val="22"/>
        </w:rPr>
        <w:t xml:space="preserve"> (excluding OTC</w:t>
      </w:r>
      <w:r w:rsidRPr="00AB741A">
        <w:rPr>
          <w:rStyle w:val="FootnoteReference"/>
          <w:szCs w:val="22"/>
        </w:rPr>
        <w:footnoteReference w:id="3"/>
      </w:r>
      <w:r w:rsidRPr="00AB741A">
        <w:rPr>
          <w:szCs w:val="22"/>
        </w:rPr>
        <w:t xml:space="preserve">) at 5.6 per cent.  Of the pharmaceuticals, </w:t>
      </w:r>
      <w:proofErr w:type="gramStart"/>
      <w:r w:rsidRPr="00AB741A">
        <w:rPr>
          <w:szCs w:val="22"/>
        </w:rPr>
        <w:t>pain-killers</w:t>
      </w:r>
      <w:proofErr w:type="gramEnd"/>
      <w:r w:rsidRPr="00AB741A">
        <w:rPr>
          <w:szCs w:val="22"/>
        </w:rPr>
        <w:t>/analgesics and opioids (excluding OTC) for non-medical purposes were the most commonly reported at 3.3 per cent, followed by tranquillisers/sleeping pills at 2.9 per cent.</w:t>
      </w:r>
    </w:p>
    <w:p w14:paraId="0514F318" w14:textId="77777777" w:rsidR="007D2E3F" w:rsidRDefault="007D2E3F" w:rsidP="00935578">
      <w:pPr>
        <w:pStyle w:val="BulletedListLevel1"/>
        <w:widowControl w:val="0"/>
        <w:tabs>
          <w:tab w:val="left" w:pos="567"/>
        </w:tabs>
        <w:spacing w:line="260" w:lineRule="atLeast"/>
        <w:rPr>
          <w:szCs w:val="22"/>
        </w:rPr>
      </w:pPr>
      <w:r w:rsidRPr="00AB741A">
        <w:rPr>
          <w:szCs w:val="22"/>
        </w:rPr>
        <w:t>The table below summarises self-reported tobacco, alcohol and illicit drug use for Tasmania from the 2016 NDSHS, by Statistical Area Level.</w:t>
      </w:r>
    </w:p>
    <w:tbl>
      <w:tblPr>
        <w:tblW w:w="5157" w:type="pct"/>
        <w:tblInd w:w="-176" w:type="dxa"/>
        <w:tblLook w:val="04A0" w:firstRow="1" w:lastRow="0" w:firstColumn="1" w:lastColumn="0" w:noHBand="0" w:noVBand="1"/>
      </w:tblPr>
      <w:tblGrid>
        <w:gridCol w:w="271"/>
        <w:gridCol w:w="514"/>
        <w:gridCol w:w="874"/>
        <w:gridCol w:w="874"/>
        <w:gridCol w:w="880"/>
        <w:gridCol w:w="981"/>
        <w:gridCol w:w="876"/>
        <w:gridCol w:w="876"/>
        <w:gridCol w:w="931"/>
        <w:gridCol w:w="931"/>
        <w:gridCol w:w="931"/>
        <w:gridCol w:w="991"/>
      </w:tblGrid>
      <w:tr w:rsidR="006F4813" w:rsidRPr="00027355" w14:paraId="2C32D21F" w14:textId="77777777" w:rsidTr="006A0CBC">
        <w:trPr>
          <w:trHeight w:val="979"/>
          <w:tblHeader/>
        </w:trPr>
        <w:tc>
          <w:tcPr>
            <w:tcW w:w="3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30F14" w14:textId="77777777"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SAL</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006C7F09" w14:textId="226C2CA7" w:rsidR="006F4813" w:rsidRDefault="006F4813" w:rsidP="007D2E3F">
            <w:pPr>
              <w:widowControl w:val="0"/>
              <w:spacing w:after="0" w:line="240" w:lineRule="auto"/>
              <w:rPr>
                <w:rFonts w:cs="Arial"/>
                <w:b/>
                <w:bCs/>
                <w:color w:val="000000"/>
                <w:sz w:val="16"/>
                <w:szCs w:val="16"/>
              </w:rPr>
            </w:pPr>
            <w:r>
              <w:rPr>
                <w:rFonts w:cs="Arial"/>
                <w:b/>
                <w:bCs/>
                <w:color w:val="000000"/>
                <w:sz w:val="16"/>
                <w:szCs w:val="16"/>
              </w:rPr>
              <w:t>Smoking status:</w:t>
            </w:r>
          </w:p>
          <w:p w14:paraId="75B626DD" w14:textId="7AA754C8"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Daily</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4C2A7F32" w14:textId="473A5ECF" w:rsidR="006F4813" w:rsidRDefault="006F4813" w:rsidP="007D2E3F">
            <w:pPr>
              <w:widowControl w:val="0"/>
              <w:spacing w:after="0" w:line="240" w:lineRule="auto"/>
              <w:rPr>
                <w:rFonts w:cs="Arial"/>
                <w:b/>
                <w:bCs/>
                <w:color w:val="000000"/>
                <w:sz w:val="16"/>
                <w:szCs w:val="16"/>
              </w:rPr>
            </w:pPr>
            <w:r>
              <w:rPr>
                <w:rFonts w:cs="Arial"/>
                <w:b/>
                <w:bCs/>
                <w:color w:val="000000"/>
                <w:sz w:val="16"/>
                <w:szCs w:val="16"/>
              </w:rPr>
              <w:t>Smoking status:</w:t>
            </w:r>
          </w:p>
          <w:p w14:paraId="67FDD9C1" w14:textId="2FA44652"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Ex-</w:t>
            </w:r>
            <w:proofErr w:type="spellStart"/>
            <w:r w:rsidRPr="00027355">
              <w:rPr>
                <w:rFonts w:cs="Arial"/>
                <w:b/>
                <w:bCs/>
                <w:color w:val="000000"/>
                <w:sz w:val="16"/>
                <w:szCs w:val="16"/>
              </w:rPr>
              <w:t>smoker</w:t>
            </w:r>
            <w:r w:rsidRPr="00027355">
              <w:rPr>
                <w:rFonts w:cs="Arial"/>
                <w:b/>
                <w:bCs/>
                <w:color w:val="000000"/>
                <w:sz w:val="16"/>
                <w:szCs w:val="16"/>
                <w:vertAlign w:val="superscript"/>
              </w:rPr>
              <w:t>c</w:t>
            </w:r>
            <w:proofErr w:type="spellEnd"/>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2B37200E" w14:textId="3718FF9B" w:rsidR="006F4813" w:rsidRDefault="006F4813" w:rsidP="007D2E3F">
            <w:pPr>
              <w:widowControl w:val="0"/>
              <w:spacing w:after="0" w:line="240" w:lineRule="auto"/>
              <w:rPr>
                <w:rFonts w:cs="Arial"/>
                <w:b/>
                <w:bCs/>
                <w:color w:val="000000"/>
                <w:sz w:val="16"/>
                <w:szCs w:val="16"/>
              </w:rPr>
            </w:pPr>
            <w:r>
              <w:rPr>
                <w:rFonts w:cs="Arial"/>
                <w:b/>
                <w:bCs/>
                <w:color w:val="000000"/>
                <w:sz w:val="16"/>
                <w:szCs w:val="16"/>
              </w:rPr>
              <w:t>Smoking status:</w:t>
            </w:r>
          </w:p>
          <w:p w14:paraId="1097A97E" w14:textId="08331847"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 xml:space="preserve">Never </w:t>
            </w:r>
            <w:proofErr w:type="spellStart"/>
            <w:r w:rsidRPr="00027355">
              <w:rPr>
                <w:rFonts w:cs="Arial"/>
                <w:b/>
                <w:bCs/>
                <w:color w:val="000000"/>
                <w:sz w:val="16"/>
                <w:szCs w:val="16"/>
              </w:rPr>
              <w:t>smoked</w:t>
            </w:r>
            <w:r w:rsidRPr="00027355">
              <w:rPr>
                <w:rFonts w:cs="Arial"/>
                <w:b/>
                <w:bCs/>
                <w:color w:val="000000"/>
                <w:sz w:val="16"/>
                <w:szCs w:val="16"/>
                <w:vertAlign w:val="superscript"/>
              </w:rPr>
              <w:t>d</w:t>
            </w:r>
            <w:proofErr w:type="spellEnd"/>
          </w:p>
        </w:tc>
        <w:tc>
          <w:tcPr>
            <w:tcW w:w="494" w:type="pct"/>
            <w:tcBorders>
              <w:top w:val="single" w:sz="4" w:space="0" w:color="auto"/>
              <w:left w:val="nil"/>
              <w:bottom w:val="single" w:sz="4" w:space="0" w:color="auto"/>
              <w:right w:val="single" w:sz="4" w:space="0" w:color="auto"/>
            </w:tcBorders>
            <w:shd w:val="clear" w:color="auto" w:fill="auto"/>
            <w:vAlign w:val="center"/>
            <w:hideMark/>
          </w:tcPr>
          <w:p w14:paraId="256D228F" w14:textId="0A2B1F83" w:rsidR="006F4813" w:rsidRDefault="006F4813" w:rsidP="007D2E3F">
            <w:pPr>
              <w:widowControl w:val="0"/>
              <w:spacing w:after="0" w:line="240" w:lineRule="auto"/>
              <w:rPr>
                <w:rFonts w:cs="Arial"/>
                <w:b/>
                <w:bCs/>
                <w:color w:val="000000"/>
                <w:sz w:val="16"/>
                <w:szCs w:val="16"/>
              </w:rPr>
            </w:pPr>
            <w:r>
              <w:rPr>
                <w:rFonts w:cs="Arial"/>
                <w:b/>
                <w:bCs/>
                <w:color w:val="000000"/>
                <w:sz w:val="16"/>
                <w:szCs w:val="16"/>
              </w:rPr>
              <w:t>Alcohol risk:</w:t>
            </w:r>
          </w:p>
          <w:p w14:paraId="254DFB3A" w14:textId="7CD57EC4"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Abstainer</w:t>
            </w:r>
          </w:p>
          <w:p w14:paraId="3BAB993E" w14:textId="77777777"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/ex-</w:t>
            </w:r>
            <w:proofErr w:type="spellStart"/>
            <w:r w:rsidRPr="00027355">
              <w:rPr>
                <w:rFonts w:cs="Arial"/>
                <w:b/>
                <w:bCs/>
                <w:color w:val="000000"/>
                <w:sz w:val="16"/>
                <w:szCs w:val="16"/>
              </w:rPr>
              <w:t>drinkers</w:t>
            </w:r>
            <w:r w:rsidRPr="00027355">
              <w:rPr>
                <w:rFonts w:cs="Arial"/>
                <w:b/>
                <w:bCs/>
                <w:color w:val="000000"/>
                <w:sz w:val="16"/>
                <w:szCs w:val="16"/>
                <w:vertAlign w:val="superscript"/>
              </w:rPr>
              <w:t>e</w:t>
            </w:r>
            <w:proofErr w:type="spellEnd"/>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3D235008" w14:textId="5CEA5C15" w:rsidR="006F4813" w:rsidRDefault="006F4813" w:rsidP="007D2E3F">
            <w:pPr>
              <w:widowControl w:val="0"/>
              <w:spacing w:after="0" w:line="240" w:lineRule="auto"/>
              <w:rPr>
                <w:rFonts w:cs="Arial"/>
                <w:b/>
                <w:bCs/>
                <w:color w:val="000000"/>
                <w:sz w:val="16"/>
                <w:szCs w:val="16"/>
              </w:rPr>
            </w:pPr>
            <w:r>
              <w:rPr>
                <w:rFonts w:cs="Arial"/>
                <w:b/>
                <w:bCs/>
                <w:color w:val="000000"/>
                <w:sz w:val="16"/>
                <w:szCs w:val="16"/>
              </w:rPr>
              <w:t>Alcohol risk:</w:t>
            </w:r>
          </w:p>
          <w:p w14:paraId="4122A9B4" w14:textId="0B364C8C"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 xml:space="preserve">Lifetime risk: Low </w:t>
            </w:r>
            <w:proofErr w:type="spellStart"/>
            <w:r w:rsidRPr="00027355">
              <w:rPr>
                <w:rFonts w:cs="Arial"/>
                <w:b/>
                <w:bCs/>
                <w:color w:val="000000"/>
                <w:sz w:val="16"/>
                <w:szCs w:val="16"/>
              </w:rPr>
              <w:t>risk</w:t>
            </w:r>
            <w:r w:rsidRPr="00027355">
              <w:rPr>
                <w:rFonts w:cs="Arial"/>
                <w:b/>
                <w:bCs/>
                <w:color w:val="000000"/>
                <w:sz w:val="16"/>
                <w:szCs w:val="16"/>
                <w:vertAlign w:val="superscript"/>
              </w:rPr>
              <w:t>f</w:t>
            </w:r>
            <w:proofErr w:type="spellEnd"/>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71D2BCEE" w14:textId="54C9DF41" w:rsidR="006F4813" w:rsidRDefault="006F4813" w:rsidP="007D2E3F">
            <w:pPr>
              <w:widowControl w:val="0"/>
              <w:spacing w:after="0" w:line="240" w:lineRule="auto"/>
              <w:rPr>
                <w:rFonts w:cs="Arial"/>
                <w:b/>
                <w:bCs/>
                <w:color w:val="000000"/>
                <w:sz w:val="16"/>
                <w:szCs w:val="16"/>
              </w:rPr>
            </w:pPr>
            <w:r>
              <w:rPr>
                <w:rFonts w:cs="Arial"/>
                <w:b/>
                <w:bCs/>
                <w:color w:val="000000"/>
                <w:sz w:val="16"/>
                <w:szCs w:val="16"/>
              </w:rPr>
              <w:t>Alcohol risk:</w:t>
            </w:r>
          </w:p>
          <w:p w14:paraId="69D5317C" w14:textId="25DB86E5"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 xml:space="preserve">Lifetime risk: </w:t>
            </w:r>
            <w:proofErr w:type="spellStart"/>
            <w:r w:rsidRPr="00027355">
              <w:rPr>
                <w:rFonts w:cs="Arial"/>
                <w:b/>
                <w:bCs/>
                <w:color w:val="000000"/>
                <w:sz w:val="16"/>
                <w:szCs w:val="16"/>
              </w:rPr>
              <w:t>Risky</w:t>
            </w:r>
            <w:r w:rsidRPr="00027355">
              <w:rPr>
                <w:rFonts w:cs="Arial"/>
                <w:b/>
                <w:bCs/>
                <w:color w:val="000000"/>
                <w:sz w:val="16"/>
                <w:szCs w:val="16"/>
                <w:vertAlign w:val="superscript"/>
              </w:rPr>
              <w:t>g</w:t>
            </w:r>
            <w:proofErr w:type="spellEnd"/>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4DB75096" w14:textId="6F35DC68" w:rsidR="006F4813" w:rsidRDefault="006F4813" w:rsidP="007D2E3F">
            <w:pPr>
              <w:widowControl w:val="0"/>
              <w:spacing w:after="0" w:line="240" w:lineRule="auto"/>
              <w:rPr>
                <w:rFonts w:cs="Arial"/>
                <w:b/>
                <w:bCs/>
                <w:color w:val="000000"/>
                <w:sz w:val="16"/>
                <w:szCs w:val="16"/>
              </w:rPr>
            </w:pPr>
            <w:r>
              <w:rPr>
                <w:rFonts w:cs="Arial"/>
                <w:b/>
                <w:bCs/>
                <w:color w:val="000000"/>
                <w:sz w:val="16"/>
                <w:szCs w:val="16"/>
              </w:rPr>
              <w:t>Alcohol risk:</w:t>
            </w:r>
          </w:p>
          <w:p w14:paraId="32D84CBF" w14:textId="5F86B414"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 xml:space="preserve">Single occasion: Low </w:t>
            </w:r>
            <w:proofErr w:type="spellStart"/>
            <w:r w:rsidRPr="00027355">
              <w:rPr>
                <w:rFonts w:cs="Arial"/>
                <w:b/>
                <w:bCs/>
                <w:color w:val="000000"/>
                <w:sz w:val="16"/>
                <w:szCs w:val="16"/>
              </w:rPr>
              <w:t>risk</w:t>
            </w:r>
            <w:r w:rsidRPr="00027355">
              <w:rPr>
                <w:rFonts w:cs="Arial"/>
                <w:b/>
                <w:bCs/>
                <w:color w:val="000000"/>
                <w:sz w:val="16"/>
                <w:szCs w:val="16"/>
                <w:vertAlign w:val="superscript"/>
              </w:rPr>
              <w:t>h</w:t>
            </w:r>
            <w:proofErr w:type="spellEnd"/>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6954AA4B" w14:textId="77777777" w:rsidR="006F4813" w:rsidRDefault="006F4813" w:rsidP="007D2E3F">
            <w:pPr>
              <w:widowControl w:val="0"/>
              <w:spacing w:after="0" w:line="240" w:lineRule="auto"/>
              <w:rPr>
                <w:rFonts w:cs="Arial"/>
                <w:b/>
                <w:bCs/>
                <w:color w:val="000000"/>
                <w:sz w:val="16"/>
                <w:szCs w:val="16"/>
              </w:rPr>
            </w:pPr>
          </w:p>
          <w:p w14:paraId="6BC3C5C8" w14:textId="7681FF8D" w:rsidR="006F4813" w:rsidRDefault="006F4813" w:rsidP="007D2E3F">
            <w:pPr>
              <w:widowControl w:val="0"/>
              <w:spacing w:after="0" w:line="240" w:lineRule="auto"/>
              <w:rPr>
                <w:rFonts w:cs="Arial"/>
                <w:b/>
                <w:bCs/>
                <w:color w:val="000000"/>
                <w:sz w:val="16"/>
                <w:szCs w:val="16"/>
              </w:rPr>
            </w:pPr>
            <w:r>
              <w:rPr>
                <w:rFonts w:cs="Arial"/>
                <w:b/>
                <w:bCs/>
                <w:color w:val="000000"/>
                <w:sz w:val="16"/>
                <w:szCs w:val="16"/>
              </w:rPr>
              <w:t>Alcohol risk:</w:t>
            </w:r>
          </w:p>
          <w:p w14:paraId="2F05080A" w14:textId="0B5F8D7E"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 xml:space="preserve">Single occasion: At least yearly but not </w:t>
            </w:r>
            <w:proofErr w:type="spellStart"/>
            <w:r w:rsidRPr="00027355">
              <w:rPr>
                <w:rFonts w:cs="Arial"/>
                <w:b/>
                <w:bCs/>
                <w:color w:val="000000"/>
                <w:sz w:val="16"/>
                <w:szCs w:val="16"/>
              </w:rPr>
              <w:t>monthly</w:t>
            </w:r>
            <w:r w:rsidRPr="00027355">
              <w:rPr>
                <w:rFonts w:cs="Arial"/>
                <w:b/>
                <w:bCs/>
                <w:color w:val="000000"/>
                <w:sz w:val="16"/>
                <w:szCs w:val="16"/>
                <w:vertAlign w:val="superscript"/>
              </w:rPr>
              <w:t>i</w:t>
            </w:r>
            <w:proofErr w:type="spellEnd"/>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4C72CA24" w14:textId="342935E5" w:rsidR="006F4813" w:rsidRDefault="006F4813" w:rsidP="007D2E3F">
            <w:pPr>
              <w:widowControl w:val="0"/>
              <w:spacing w:after="0" w:line="240" w:lineRule="auto"/>
              <w:rPr>
                <w:rFonts w:cs="Arial"/>
                <w:b/>
                <w:bCs/>
                <w:color w:val="000000"/>
                <w:sz w:val="16"/>
                <w:szCs w:val="16"/>
              </w:rPr>
            </w:pPr>
            <w:r>
              <w:rPr>
                <w:rFonts w:cs="Arial"/>
                <w:b/>
                <w:bCs/>
                <w:color w:val="000000"/>
                <w:sz w:val="16"/>
                <w:szCs w:val="16"/>
              </w:rPr>
              <w:t>Alcohol risk:</w:t>
            </w:r>
          </w:p>
          <w:p w14:paraId="6F123A80" w14:textId="7435BBCE"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 xml:space="preserve">Single occasion: At least </w:t>
            </w:r>
            <w:proofErr w:type="spellStart"/>
            <w:r w:rsidRPr="00027355">
              <w:rPr>
                <w:rFonts w:cs="Arial"/>
                <w:b/>
                <w:bCs/>
                <w:color w:val="000000"/>
                <w:sz w:val="16"/>
                <w:szCs w:val="16"/>
              </w:rPr>
              <w:t>monthly</w:t>
            </w:r>
            <w:r w:rsidRPr="00027355">
              <w:rPr>
                <w:rFonts w:cs="Arial"/>
                <w:b/>
                <w:bCs/>
                <w:color w:val="000000"/>
                <w:sz w:val="16"/>
                <w:szCs w:val="16"/>
                <w:vertAlign w:val="superscript"/>
              </w:rPr>
              <w:t>j</w:t>
            </w:r>
            <w:proofErr w:type="spellEnd"/>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65CF2EEE" w14:textId="35A884AB" w:rsidR="006F4813" w:rsidRDefault="006F4813" w:rsidP="007D2E3F">
            <w:pPr>
              <w:widowControl w:val="0"/>
              <w:spacing w:after="0" w:line="240" w:lineRule="auto"/>
              <w:rPr>
                <w:rFonts w:cs="Arial"/>
                <w:b/>
                <w:bCs/>
                <w:color w:val="000000"/>
                <w:sz w:val="16"/>
                <w:szCs w:val="16"/>
              </w:rPr>
            </w:pPr>
            <w:r>
              <w:rPr>
                <w:rFonts w:cs="Arial"/>
                <w:b/>
                <w:bCs/>
                <w:color w:val="000000"/>
                <w:sz w:val="16"/>
                <w:szCs w:val="16"/>
              </w:rPr>
              <w:t>Illicit drug use:</w:t>
            </w:r>
          </w:p>
          <w:p w14:paraId="295B3CA8" w14:textId="2C0563B7" w:rsidR="007D2E3F" w:rsidRPr="00027355" w:rsidRDefault="007D2E3F" w:rsidP="007D2E3F">
            <w:pPr>
              <w:widowControl w:val="0"/>
              <w:spacing w:after="0" w:line="240" w:lineRule="auto"/>
              <w:rPr>
                <w:rFonts w:cs="Arial"/>
                <w:b/>
                <w:bCs/>
                <w:color w:val="000000"/>
                <w:sz w:val="16"/>
                <w:szCs w:val="16"/>
              </w:rPr>
            </w:pPr>
            <w:r w:rsidRPr="00027355">
              <w:rPr>
                <w:rFonts w:cs="Arial"/>
                <w:b/>
                <w:bCs/>
                <w:color w:val="000000"/>
                <w:sz w:val="16"/>
                <w:szCs w:val="16"/>
              </w:rPr>
              <w:t xml:space="preserve">Recent </w:t>
            </w:r>
            <w:proofErr w:type="spellStart"/>
            <w:r w:rsidRPr="00027355">
              <w:rPr>
                <w:rFonts w:cs="Arial"/>
                <w:b/>
                <w:bCs/>
                <w:color w:val="000000"/>
                <w:sz w:val="16"/>
                <w:szCs w:val="16"/>
              </w:rPr>
              <w:t>illicit</w:t>
            </w:r>
            <w:r w:rsidRPr="00027355">
              <w:rPr>
                <w:rFonts w:cs="Arial"/>
                <w:b/>
                <w:bCs/>
                <w:color w:val="000000"/>
                <w:sz w:val="16"/>
                <w:szCs w:val="16"/>
                <w:vertAlign w:val="superscript"/>
              </w:rPr>
              <w:t>k</w:t>
            </w:r>
            <w:proofErr w:type="spellEnd"/>
          </w:p>
        </w:tc>
      </w:tr>
      <w:tr w:rsidR="006F4813" w:rsidRPr="00027355" w14:paraId="372D7AC5" w14:textId="77777777" w:rsidTr="006F4813">
        <w:trPr>
          <w:trHeight w:val="240"/>
        </w:trPr>
        <w:tc>
          <w:tcPr>
            <w:tcW w:w="39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B3C7FA" w14:textId="77777777" w:rsidR="007D2E3F" w:rsidRPr="00027355" w:rsidRDefault="007D2E3F" w:rsidP="007D2E3F">
            <w:pPr>
              <w:widowControl w:val="0"/>
              <w:spacing w:after="0" w:line="240" w:lineRule="auto"/>
              <w:rPr>
                <w:rFonts w:cs="Arial"/>
                <w:b/>
                <w:color w:val="000000"/>
                <w:sz w:val="16"/>
                <w:szCs w:val="16"/>
              </w:rPr>
            </w:pPr>
            <w:r w:rsidRPr="00027355">
              <w:rPr>
                <w:rFonts w:cs="Arial"/>
                <w:b/>
                <w:color w:val="000000"/>
                <w:sz w:val="16"/>
                <w:szCs w:val="16"/>
              </w:rPr>
              <w:t>Hobart</w:t>
            </w:r>
          </w:p>
          <w:p w14:paraId="700B9E0E" w14:textId="77777777" w:rsidR="007D2E3F" w:rsidRPr="00027355" w:rsidRDefault="007D2E3F" w:rsidP="007D2E3F">
            <w:pPr>
              <w:widowControl w:val="0"/>
              <w:spacing w:after="0" w:line="240" w:lineRule="auto"/>
              <w:rPr>
                <w:rFonts w:cs="Arial"/>
                <w:b/>
                <w:color w:val="000000"/>
                <w:sz w:val="16"/>
                <w:szCs w:val="16"/>
              </w:rPr>
            </w:pPr>
            <w:r w:rsidRPr="00027355">
              <w:rPr>
                <w:rFonts w:cs="Arial"/>
                <w:b/>
                <w:color w:val="000000"/>
                <w:sz w:val="16"/>
                <w:szCs w:val="16"/>
              </w:rPr>
              <w:t>(601)</w:t>
            </w:r>
          </w:p>
        </w:tc>
        <w:tc>
          <w:tcPr>
            <w:tcW w:w="440" w:type="pct"/>
            <w:tcBorders>
              <w:top w:val="nil"/>
              <w:left w:val="nil"/>
              <w:bottom w:val="single" w:sz="4" w:space="0" w:color="auto"/>
              <w:right w:val="single" w:sz="4" w:space="0" w:color="auto"/>
            </w:tcBorders>
            <w:shd w:val="clear" w:color="auto" w:fill="auto"/>
            <w:noWrap/>
            <w:vAlign w:val="center"/>
            <w:hideMark/>
          </w:tcPr>
          <w:p w14:paraId="08BB6FEF"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11.7</w:t>
            </w:r>
          </w:p>
        </w:tc>
        <w:tc>
          <w:tcPr>
            <w:tcW w:w="440" w:type="pct"/>
            <w:tcBorders>
              <w:top w:val="nil"/>
              <w:left w:val="nil"/>
              <w:bottom w:val="single" w:sz="4" w:space="0" w:color="auto"/>
              <w:right w:val="single" w:sz="4" w:space="0" w:color="auto"/>
            </w:tcBorders>
            <w:shd w:val="clear" w:color="auto" w:fill="auto"/>
            <w:noWrap/>
            <w:vAlign w:val="center"/>
            <w:hideMark/>
          </w:tcPr>
          <w:p w14:paraId="19C1C638"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25.1</w:t>
            </w:r>
          </w:p>
        </w:tc>
        <w:tc>
          <w:tcPr>
            <w:tcW w:w="443" w:type="pct"/>
            <w:tcBorders>
              <w:top w:val="nil"/>
              <w:left w:val="nil"/>
              <w:bottom w:val="single" w:sz="4" w:space="0" w:color="auto"/>
              <w:right w:val="single" w:sz="4" w:space="0" w:color="auto"/>
            </w:tcBorders>
            <w:shd w:val="clear" w:color="auto" w:fill="auto"/>
            <w:noWrap/>
            <w:vAlign w:val="center"/>
            <w:hideMark/>
          </w:tcPr>
          <w:p w14:paraId="39DE1422"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58.8</w:t>
            </w:r>
          </w:p>
        </w:tc>
        <w:tc>
          <w:tcPr>
            <w:tcW w:w="494" w:type="pct"/>
            <w:tcBorders>
              <w:top w:val="nil"/>
              <w:left w:val="nil"/>
              <w:bottom w:val="single" w:sz="4" w:space="0" w:color="auto"/>
              <w:right w:val="single" w:sz="4" w:space="0" w:color="auto"/>
            </w:tcBorders>
            <w:shd w:val="clear" w:color="auto" w:fill="auto"/>
            <w:noWrap/>
            <w:vAlign w:val="center"/>
            <w:hideMark/>
          </w:tcPr>
          <w:p w14:paraId="17B72243"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15.5</w:t>
            </w:r>
          </w:p>
        </w:tc>
        <w:tc>
          <w:tcPr>
            <w:tcW w:w="441" w:type="pct"/>
            <w:tcBorders>
              <w:top w:val="nil"/>
              <w:left w:val="nil"/>
              <w:bottom w:val="single" w:sz="4" w:space="0" w:color="auto"/>
              <w:right w:val="single" w:sz="4" w:space="0" w:color="auto"/>
            </w:tcBorders>
            <w:shd w:val="clear" w:color="auto" w:fill="auto"/>
            <w:noWrap/>
            <w:vAlign w:val="center"/>
            <w:hideMark/>
          </w:tcPr>
          <w:p w14:paraId="67AA29DF"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64.2</w:t>
            </w:r>
          </w:p>
        </w:tc>
        <w:tc>
          <w:tcPr>
            <w:tcW w:w="441" w:type="pct"/>
            <w:tcBorders>
              <w:top w:val="nil"/>
              <w:left w:val="nil"/>
              <w:bottom w:val="single" w:sz="4" w:space="0" w:color="auto"/>
              <w:right w:val="single" w:sz="4" w:space="0" w:color="auto"/>
            </w:tcBorders>
            <w:shd w:val="clear" w:color="auto" w:fill="auto"/>
            <w:noWrap/>
            <w:vAlign w:val="center"/>
            <w:hideMark/>
          </w:tcPr>
          <w:p w14:paraId="06153F6F"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20.3</w:t>
            </w:r>
          </w:p>
        </w:tc>
        <w:tc>
          <w:tcPr>
            <w:tcW w:w="469" w:type="pct"/>
            <w:tcBorders>
              <w:top w:val="nil"/>
              <w:left w:val="nil"/>
              <w:bottom w:val="single" w:sz="4" w:space="0" w:color="auto"/>
              <w:right w:val="single" w:sz="4" w:space="0" w:color="auto"/>
            </w:tcBorders>
            <w:shd w:val="clear" w:color="auto" w:fill="auto"/>
            <w:noWrap/>
            <w:vAlign w:val="center"/>
            <w:hideMark/>
          </w:tcPr>
          <w:p w14:paraId="782F3C9E"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39.3</w:t>
            </w:r>
          </w:p>
        </w:tc>
        <w:tc>
          <w:tcPr>
            <w:tcW w:w="469" w:type="pct"/>
            <w:tcBorders>
              <w:top w:val="nil"/>
              <w:left w:val="nil"/>
              <w:bottom w:val="single" w:sz="4" w:space="0" w:color="auto"/>
              <w:right w:val="single" w:sz="4" w:space="0" w:color="auto"/>
            </w:tcBorders>
            <w:shd w:val="clear" w:color="auto" w:fill="auto"/>
            <w:noWrap/>
            <w:vAlign w:val="center"/>
            <w:hideMark/>
          </w:tcPr>
          <w:p w14:paraId="47357B8C"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18.0</w:t>
            </w:r>
          </w:p>
        </w:tc>
        <w:tc>
          <w:tcPr>
            <w:tcW w:w="469" w:type="pct"/>
            <w:tcBorders>
              <w:top w:val="nil"/>
              <w:left w:val="nil"/>
              <w:bottom w:val="single" w:sz="4" w:space="0" w:color="auto"/>
              <w:right w:val="single" w:sz="4" w:space="0" w:color="auto"/>
            </w:tcBorders>
            <w:shd w:val="clear" w:color="auto" w:fill="auto"/>
            <w:noWrap/>
            <w:vAlign w:val="center"/>
            <w:hideMark/>
          </w:tcPr>
          <w:p w14:paraId="69D19754"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27.2</w:t>
            </w:r>
          </w:p>
        </w:tc>
        <w:tc>
          <w:tcPr>
            <w:tcW w:w="499" w:type="pct"/>
            <w:tcBorders>
              <w:top w:val="nil"/>
              <w:left w:val="nil"/>
              <w:bottom w:val="single" w:sz="4" w:space="0" w:color="auto"/>
              <w:right w:val="single" w:sz="4" w:space="0" w:color="auto"/>
            </w:tcBorders>
            <w:shd w:val="clear" w:color="auto" w:fill="auto"/>
            <w:noWrap/>
            <w:vAlign w:val="center"/>
            <w:hideMark/>
          </w:tcPr>
          <w:p w14:paraId="28A759D1"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19.2</w:t>
            </w:r>
          </w:p>
        </w:tc>
      </w:tr>
      <w:tr w:rsidR="006F4813" w:rsidRPr="00027355" w14:paraId="5C2410B0" w14:textId="77777777" w:rsidTr="006F4813">
        <w:trPr>
          <w:trHeight w:val="480"/>
        </w:trPr>
        <w:tc>
          <w:tcPr>
            <w:tcW w:w="395" w:type="pct"/>
            <w:gridSpan w:val="2"/>
            <w:tcBorders>
              <w:top w:val="nil"/>
              <w:left w:val="single" w:sz="4" w:space="0" w:color="auto"/>
              <w:bottom w:val="single" w:sz="4" w:space="0" w:color="auto"/>
              <w:right w:val="single" w:sz="4" w:space="0" w:color="auto"/>
            </w:tcBorders>
            <w:shd w:val="clear" w:color="auto" w:fill="auto"/>
            <w:vAlign w:val="center"/>
            <w:hideMark/>
          </w:tcPr>
          <w:p w14:paraId="66CBBB38" w14:textId="77777777" w:rsidR="007D2E3F" w:rsidRPr="00027355" w:rsidRDefault="007D2E3F" w:rsidP="007D2E3F">
            <w:pPr>
              <w:widowControl w:val="0"/>
              <w:spacing w:after="0" w:line="240" w:lineRule="auto"/>
              <w:rPr>
                <w:rFonts w:cs="Arial"/>
                <w:b/>
                <w:color w:val="000000"/>
                <w:sz w:val="16"/>
                <w:szCs w:val="16"/>
              </w:rPr>
            </w:pPr>
            <w:proofErr w:type="spellStart"/>
            <w:r w:rsidRPr="00027355">
              <w:rPr>
                <w:rFonts w:cs="Arial"/>
                <w:b/>
                <w:color w:val="000000"/>
                <w:sz w:val="16"/>
                <w:szCs w:val="16"/>
              </w:rPr>
              <w:t>L’ton</w:t>
            </w:r>
            <w:proofErr w:type="spellEnd"/>
            <w:r w:rsidRPr="00027355">
              <w:rPr>
                <w:rFonts w:cs="Arial"/>
                <w:b/>
                <w:color w:val="000000"/>
                <w:sz w:val="16"/>
                <w:szCs w:val="16"/>
              </w:rPr>
              <w:t xml:space="preserve"> and North</w:t>
            </w:r>
            <w:r w:rsidRPr="00027355">
              <w:rPr>
                <w:rFonts w:cs="Arial"/>
                <w:b/>
                <w:color w:val="000000"/>
                <w:sz w:val="16"/>
                <w:szCs w:val="16"/>
              </w:rPr>
              <w:br/>
              <w:t>East</w:t>
            </w:r>
          </w:p>
          <w:p w14:paraId="30DA4383" w14:textId="77777777" w:rsidR="007D2E3F" w:rsidRPr="00027355" w:rsidRDefault="007D2E3F" w:rsidP="007D2E3F">
            <w:pPr>
              <w:widowControl w:val="0"/>
              <w:spacing w:after="0" w:line="240" w:lineRule="auto"/>
              <w:rPr>
                <w:rFonts w:cs="Arial"/>
                <w:b/>
                <w:color w:val="000000"/>
                <w:sz w:val="16"/>
                <w:szCs w:val="16"/>
              </w:rPr>
            </w:pPr>
            <w:r w:rsidRPr="00027355">
              <w:rPr>
                <w:rFonts w:cs="Arial"/>
                <w:b/>
                <w:color w:val="000000"/>
                <w:sz w:val="16"/>
                <w:szCs w:val="16"/>
              </w:rPr>
              <w:lastRenderedPageBreak/>
              <w:t>(602)</w:t>
            </w:r>
          </w:p>
        </w:tc>
        <w:tc>
          <w:tcPr>
            <w:tcW w:w="440" w:type="pct"/>
            <w:tcBorders>
              <w:top w:val="nil"/>
              <w:left w:val="nil"/>
              <w:bottom w:val="single" w:sz="4" w:space="0" w:color="auto"/>
              <w:right w:val="single" w:sz="4" w:space="0" w:color="auto"/>
            </w:tcBorders>
            <w:shd w:val="clear" w:color="auto" w:fill="auto"/>
            <w:noWrap/>
            <w:vAlign w:val="center"/>
            <w:hideMark/>
          </w:tcPr>
          <w:p w14:paraId="405CCF35"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lastRenderedPageBreak/>
              <w:t>17.2</w:t>
            </w:r>
          </w:p>
        </w:tc>
        <w:tc>
          <w:tcPr>
            <w:tcW w:w="440" w:type="pct"/>
            <w:tcBorders>
              <w:top w:val="nil"/>
              <w:left w:val="nil"/>
              <w:bottom w:val="single" w:sz="4" w:space="0" w:color="auto"/>
              <w:right w:val="single" w:sz="4" w:space="0" w:color="auto"/>
            </w:tcBorders>
            <w:shd w:val="clear" w:color="auto" w:fill="auto"/>
            <w:noWrap/>
            <w:vAlign w:val="center"/>
            <w:hideMark/>
          </w:tcPr>
          <w:p w14:paraId="4385FD32"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29.7</w:t>
            </w:r>
          </w:p>
        </w:tc>
        <w:tc>
          <w:tcPr>
            <w:tcW w:w="443" w:type="pct"/>
            <w:tcBorders>
              <w:top w:val="nil"/>
              <w:left w:val="nil"/>
              <w:bottom w:val="single" w:sz="4" w:space="0" w:color="auto"/>
              <w:right w:val="single" w:sz="4" w:space="0" w:color="auto"/>
            </w:tcBorders>
            <w:shd w:val="clear" w:color="auto" w:fill="auto"/>
            <w:noWrap/>
            <w:vAlign w:val="center"/>
            <w:hideMark/>
          </w:tcPr>
          <w:p w14:paraId="064F31F2"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51.1</w:t>
            </w:r>
          </w:p>
        </w:tc>
        <w:tc>
          <w:tcPr>
            <w:tcW w:w="494" w:type="pct"/>
            <w:tcBorders>
              <w:top w:val="nil"/>
              <w:left w:val="nil"/>
              <w:bottom w:val="single" w:sz="4" w:space="0" w:color="auto"/>
              <w:right w:val="single" w:sz="4" w:space="0" w:color="auto"/>
            </w:tcBorders>
            <w:shd w:val="clear" w:color="auto" w:fill="auto"/>
            <w:noWrap/>
            <w:vAlign w:val="center"/>
            <w:hideMark/>
          </w:tcPr>
          <w:p w14:paraId="273BCF08"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24.3</w:t>
            </w:r>
          </w:p>
        </w:tc>
        <w:tc>
          <w:tcPr>
            <w:tcW w:w="441" w:type="pct"/>
            <w:tcBorders>
              <w:top w:val="nil"/>
              <w:left w:val="nil"/>
              <w:bottom w:val="single" w:sz="4" w:space="0" w:color="auto"/>
              <w:right w:val="single" w:sz="4" w:space="0" w:color="auto"/>
            </w:tcBorders>
            <w:shd w:val="clear" w:color="auto" w:fill="auto"/>
            <w:noWrap/>
            <w:vAlign w:val="center"/>
            <w:hideMark/>
          </w:tcPr>
          <w:p w14:paraId="3C822FA3"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61.6</w:t>
            </w:r>
          </w:p>
        </w:tc>
        <w:tc>
          <w:tcPr>
            <w:tcW w:w="441" w:type="pct"/>
            <w:tcBorders>
              <w:top w:val="nil"/>
              <w:left w:val="nil"/>
              <w:bottom w:val="single" w:sz="4" w:space="0" w:color="auto"/>
              <w:right w:val="single" w:sz="4" w:space="0" w:color="auto"/>
            </w:tcBorders>
            <w:shd w:val="clear" w:color="auto" w:fill="auto"/>
            <w:noWrap/>
            <w:vAlign w:val="center"/>
            <w:hideMark/>
          </w:tcPr>
          <w:p w14:paraId="696A4FDD"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14.1</w:t>
            </w:r>
          </w:p>
        </w:tc>
        <w:tc>
          <w:tcPr>
            <w:tcW w:w="469" w:type="pct"/>
            <w:tcBorders>
              <w:top w:val="nil"/>
              <w:left w:val="nil"/>
              <w:bottom w:val="single" w:sz="4" w:space="0" w:color="auto"/>
              <w:right w:val="single" w:sz="4" w:space="0" w:color="auto"/>
            </w:tcBorders>
            <w:shd w:val="clear" w:color="auto" w:fill="auto"/>
            <w:noWrap/>
            <w:vAlign w:val="center"/>
            <w:hideMark/>
          </w:tcPr>
          <w:p w14:paraId="2E86AE59"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38.8</w:t>
            </w:r>
          </w:p>
        </w:tc>
        <w:tc>
          <w:tcPr>
            <w:tcW w:w="469" w:type="pct"/>
            <w:tcBorders>
              <w:top w:val="nil"/>
              <w:left w:val="nil"/>
              <w:bottom w:val="single" w:sz="4" w:space="0" w:color="auto"/>
              <w:right w:val="single" w:sz="4" w:space="0" w:color="auto"/>
            </w:tcBorders>
            <w:shd w:val="clear" w:color="auto" w:fill="auto"/>
            <w:noWrap/>
            <w:vAlign w:val="center"/>
            <w:hideMark/>
          </w:tcPr>
          <w:p w14:paraId="7FDB56BB"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8.9</w:t>
            </w:r>
          </w:p>
        </w:tc>
        <w:tc>
          <w:tcPr>
            <w:tcW w:w="469" w:type="pct"/>
            <w:tcBorders>
              <w:top w:val="nil"/>
              <w:left w:val="nil"/>
              <w:bottom w:val="single" w:sz="4" w:space="0" w:color="auto"/>
              <w:right w:val="single" w:sz="4" w:space="0" w:color="auto"/>
            </w:tcBorders>
            <w:shd w:val="clear" w:color="auto" w:fill="auto"/>
            <w:noWrap/>
            <w:vAlign w:val="center"/>
            <w:hideMark/>
          </w:tcPr>
          <w:p w14:paraId="1C9B524D"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27.9</w:t>
            </w:r>
          </w:p>
        </w:tc>
        <w:tc>
          <w:tcPr>
            <w:tcW w:w="499" w:type="pct"/>
            <w:tcBorders>
              <w:top w:val="nil"/>
              <w:left w:val="nil"/>
              <w:bottom w:val="single" w:sz="4" w:space="0" w:color="auto"/>
              <w:right w:val="single" w:sz="4" w:space="0" w:color="auto"/>
            </w:tcBorders>
            <w:shd w:val="clear" w:color="auto" w:fill="auto"/>
            <w:noWrap/>
            <w:vAlign w:val="center"/>
            <w:hideMark/>
          </w:tcPr>
          <w:p w14:paraId="0DB10BF3"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13.9</w:t>
            </w:r>
          </w:p>
        </w:tc>
      </w:tr>
      <w:tr w:rsidR="006F4813" w:rsidRPr="00027355" w14:paraId="5DF3BBD8" w14:textId="77777777" w:rsidTr="006F4813">
        <w:trPr>
          <w:trHeight w:val="480"/>
        </w:trPr>
        <w:tc>
          <w:tcPr>
            <w:tcW w:w="395" w:type="pct"/>
            <w:gridSpan w:val="2"/>
            <w:tcBorders>
              <w:top w:val="nil"/>
              <w:left w:val="single" w:sz="4" w:space="0" w:color="auto"/>
              <w:bottom w:val="single" w:sz="4" w:space="0" w:color="auto"/>
              <w:right w:val="single" w:sz="4" w:space="0" w:color="auto"/>
            </w:tcBorders>
            <w:shd w:val="clear" w:color="auto" w:fill="auto"/>
            <w:vAlign w:val="center"/>
            <w:hideMark/>
          </w:tcPr>
          <w:p w14:paraId="6EA11E9B" w14:textId="77777777" w:rsidR="007D2E3F" w:rsidRPr="00027355" w:rsidRDefault="007D2E3F" w:rsidP="007D2E3F">
            <w:pPr>
              <w:widowControl w:val="0"/>
              <w:spacing w:after="0" w:line="240" w:lineRule="auto"/>
              <w:rPr>
                <w:rFonts w:cs="Arial"/>
                <w:b/>
                <w:color w:val="000000"/>
                <w:sz w:val="16"/>
                <w:szCs w:val="16"/>
              </w:rPr>
            </w:pPr>
            <w:r w:rsidRPr="00027355">
              <w:rPr>
                <w:rFonts w:cs="Arial"/>
                <w:b/>
                <w:color w:val="000000"/>
                <w:sz w:val="16"/>
                <w:szCs w:val="16"/>
              </w:rPr>
              <w:t>West and North</w:t>
            </w:r>
            <w:r w:rsidRPr="00027355">
              <w:rPr>
                <w:rFonts w:cs="Arial"/>
                <w:b/>
                <w:color w:val="000000"/>
                <w:sz w:val="16"/>
                <w:szCs w:val="16"/>
              </w:rPr>
              <w:br/>
              <w:t>West</w:t>
            </w:r>
          </w:p>
          <w:p w14:paraId="36200503" w14:textId="77777777" w:rsidR="007D2E3F" w:rsidRPr="00027355" w:rsidRDefault="007D2E3F" w:rsidP="007D2E3F">
            <w:pPr>
              <w:widowControl w:val="0"/>
              <w:spacing w:after="0" w:line="240" w:lineRule="auto"/>
              <w:rPr>
                <w:rFonts w:cs="Arial"/>
                <w:b/>
                <w:color w:val="000000"/>
                <w:sz w:val="16"/>
                <w:szCs w:val="16"/>
              </w:rPr>
            </w:pPr>
            <w:r w:rsidRPr="00027355">
              <w:rPr>
                <w:rFonts w:cs="Arial"/>
                <w:b/>
                <w:color w:val="000000"/>
                <w:sz w:val="16"/>
                <w:szCs w:val="16"/>
              </w:rPr>
              <w:t>(604)</w:t>
            </w:r>
          </w:p>
        </w:tc>
        <w:tc>
          <w:tcPr>
            <w:tcW w:w="440" w:type="pct"/>
            <w:tcBorders>
              <w:top w:val="nil"/>
              <w:left w:val="nil"/>
              <w:bottom w:val="single" w:sz="4" w:space="0" w:color="auto"/>
              <w:right w:val="single" w:sz="4" w:space="0" w:color="auto"/>
            </w:tcBorders>
            <w:shd w:val="clear" w:color="auto" w:fill="auto"/>
            <w:noWrap/>
            <w:vAlign w:val="center"/>
            <w:hideMark/>
          </w:tcPr>
          <w:p w14:paraId="056D22BA"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20.4</w:t>
            </w:r>
          </w:p>
        </w:tc>
        <w:tc>
          <w:tcPr>
            <w:tcW w:w="440" w:type="pct"/>
            <w:tcBorders>
              <w:top w:val="nil"/>
              <w:left w:val="nil"/>
              <w:bottom w:val="single" w:sz="4" w:space="0" w:color="auto"/>
              <w:right w:val="single" w:sz="4" w:space="0" w:color="auto"/>
            </w:tcBorders>
            <w:shd w:val="clear" w:color="auto" w:fill="auto"/>
            <w:noWrap/>
            <w:vAlign w:val="center"/>
            <w:hideMark/>
          </w:tcPr>
          <w:p w14:paraId="46D9FCDB"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22.8</w:t>
            </w:r>
          </w:p>
        </w:tc>
        <w:tc>
          <w:tcPr>
            <w:tcW w:w="443" w:type="pct"/>
            <w:tcBorders>
              <w:top w:val="nil"/>
              <w:left w:val="nil"/>
              <w:bottom w:val="single" w:sz="4" w:space="0" w:color="auto"/>
              <w:right w:val="single" w:sz="4" w:space="0" w:color="auto"/>
            </w:tcBorders>
            <w:shd w:val="clear" w:color="auto" w:fill="auto"/>
            <w:noWrap/>
            <w:vAlign w:val="center"/>
            <w:hideMark/>
          </w:tcPr>
          <w:p w14:paraId="33C63BBF"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55.7</w:t>
            </w:r>
          </w:p>
        </w:tc>
        <w:tc>
          <w:tcPr>
            <w:tcW w:w="494" w:type="pct"/>
            <w:tcBorders>
              <w:top w:val="nil"/>
              <w:left w:val="nil"/>
              <w:bottom w:val="single" w:sz="4" w:space="0" w:color="auto"/>
              <w:right w:val="single" w:sz="4" w:space="0" w:color="auto"/>
            </w:tcBorders>
            <w:shd w:val="clear" w:color="auto" w:fill="auto"/>
            <w:noWrap/>
            <w:vAlign w:val="center"/>
            <w:hideMark/>
          </w:tcPr>
          <w:p w14:paraId="56EECE39"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17.3</w:t>
            </w:r>
          </w:p>
        </w:tc>
        <w:tc>
          <w:tcPr>
            <w:tcW w:w="441" w:type="pct"/>
            <w:tcBorders>
              <w:top w:val="nil"/>
              <w:left w:val="nil"/>
              <w:bottom w:val="single" w:sz="4" w:space="0" w:color="auto"/>
              <w:right w:val="single" w:sz="4" w:space="0" w:color="auto"/>
            </w:tcBorders>
            <w:shd w:val="clear" w:color="auto" w:fill="auto"/>
            <w:noWrap/>
            <w:vAlign w:val="center"/>
            <w:hideMark/>
          </w:tcPr>
          <w:p w14:paraId="226A579F"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66.5</w:t>
            </w:r>
          </w:p>
        </w:tc>
        <w:tc>
          <w:tcPr>
            <w:tcW w:w="441" w:type="pct"/>
            <w:tcBorders>
              <w:top w:val="nil"/>
              <w:left w:val="nil"/>
              <w:bottom w:val="single" w:sz="4" w:space="0" w:color="auto"/>
              <w:right w:val="single" w:sz="4" w:space="0" w:color="auto"/>
            </w:tcBorders>
            <w:shd w:val="clear" w:color="auto" w:fill="auto"/>
            <w:noWrap/>
            <w:vAlign w:val="center"/>
            <w:hideMark/>
          </w:tcPr>
          <w:p w14:paraId="64B02C5A"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16.2</w:t>
            </w:r>
          </w:p>
        </w:tc>
        <w:tc>
          <w:tcPr>
            <w:tcW w:w="469" w:type="pct"/>
            <w:tcBorders>
              <w:top w:val="nil"/>
              <w:left w:val="nil"/>
              <w:bottom w:val="single" w:sz="4" w:space="0" w:color="auto"/>
              <w:right w:val="single" w:sz="4" w:space="0" w:color="auto"/>
            </w:tcBorders>
            <w:shd w:val="clear" w:color="auto" w:fill="auto"/>
            <w:noWrap/>
            <w:vAlign w:val="center"/>
            <w:hideMark/>
          </w:tcPr>
          <w:p w14:paraId="55A25E5F"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44.2</w:t>
            </w:r>
          </w:p>
        </w:tc>
        <w:tc>
          <w:tcPr>
            <w:tcW w:w="469" w:type="pct"/>
            <w:tcBorders>
              <w:top w:val="nil"/>
              <w:left w:val="nil"/>
              <w:bottom w:val="single" w:sz="4" w:space="0" w:color="auto"/>
              <w:right w:val="single" w:sz="4" w:space="0" w:color="auto"/>
            </w:tcBorders>
            <w:shd w:val="clear" w:color="auto" w:fill="auto"/>
            <w:noWrap/>
            <w:vAlign w:val="center"/>
            <w:hideMark/>
          </w:tcPr>
          <w:p w14:paraId="510B4F02"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13.1</w:t>
            </w:r>
          </w:p>
        </w:tc>
        <w:tc>
          <w:tcPr>
            <w:tcW w:w="469" w:type="pct"/>
            <w:tcBorders>
              <w:top w:val="nil"/>
              <w:left w:val="nil"/>
              <w:bottom w:val="single" w:sz="4" w:space="0" w:color="auto"/>
              <w:right w:val="single" w:sz="4" w:space="0" w:color="auto"/>
            </w:tcBorders>
            <w:shd w:val="clear" w:color="auto" w:fill="auto"/>
            <w:noWrap/>
            <w:vAlign w:val="center"/>
            <w:hideMark/>
          </w:tcPr>
          <w:p w14:paraId="39E2DA2A"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25.3</w:t>
            </w:r>
          </w:p>
        </w:tc>
        <w:tc>
          <w:tcPr>
            <w:tcW w:w="499" w:type="pct"/>
            <w:tcBorders>
              <w:top w:val="nil"/>
              <w:left w:val="nil"/>
              <w:bottom w:val="single" w:sz="4" w:space="0" w:color="auto"/>
              <w:right w:val="single" w:sz="4" w:space="0" w:color="auto"/>
            </w:tcBorders>
            <w:shd w:val="clear" w:color="auto" w:fill="auto"/>
            <w:noWrap/>
            <w:vAlign w:val="center"/>
            <w:hideMark/>
          </w:tcPr>
          <w:p w14:paraId="4ED86050" w14:textId="77777777" w:rsidR="007D2E3F" w:rsidRPr="00027355" w:rsidRDefault="007D2E3F" w:rsidP="007D2E3F">
            <w:pPr>
              <w:widowControl w:val="0"/>
              <w:spacing w:after="0" w:line="240" w:lineRule="auto"/>
              <w:jc w:val="right"/>
              <w:rPr>
                <w:rFonts w:cs="Arial"/>
                <w:color w:val="000000"/>
                <w:sz w:val="16"/>
                <w:szCs w:val="16"/>
              </w:rPr>
            </w:pPr>
            <w:r w:rsidRPr="00027355">
              <w:rPr>
                <w:rFonts w:cs="Arial"/>
                <w:color w:val="000000"/>
                <w:sz w:val="16"/>
                <w:szCs w:val="16"/>
              </w:rPr>
              <w:t>17.3</w:t>
            </w:r>
          </w:p>
        </w:tc>
      </w:tr>
      <w:tr w:rsidR="007D2E3F" w:rsidRPr="00DF0B2E" w14:paraId="6FB80007" w14:textId="77777777" w:rsidTr="006F4813">
        <w:trPr>
          <w:gridBefore w:val="1"/>
          <w:wBefore w:w="136" w:type="pct"/>
          <w:trHeight w:val="199"/>
        </w:trPr>
        <w:tc>
          <w:tcPr>
            <w:tcW w:w="4864" w:type="pct"/>
            <w:gridSpan w:val="11"/>
            <w:tcBorders>
              <w:top w:val="nil"/>
              <w:left w:val="nil"/>
              <w:bottom w:val="nil"/>
              <w:right w:val="nil"/>
            </w:tcBorders>
            <w:shd w:val="clear" w:color="000000" w:fill="FFFFFF"/>
            <w:vAlign w:val="center"/>
            <w:hideMark/>
          </w:tcPr>
          <w:p w14:paraId="6A7A450D" w14:textId="77777777" w:rsidR="007D2E3F" w:rsidRPr="00DF0B2E" w:rsidRDefault="007D2E3F" w:rsidP="00935578">
            <w:pPr>
              <w:widowControl w:val="0"/>
              <w:spacing w:line="240" w:lineRule="auto"/>
              <w:contextualSpacing/>
              <w:rPr>
                <w:rFonts w:cs="Arial"/>
                <w:color w:val="000000"/>
                <w:sz w:val="18"/>
                <w:szCs w:val="18"/>
              </w:rPr>
            </w:pPr>
            <w:r w:rsidRPr="00DF0B2E">
              <w:rPr>
                <w:rFonts w:cs="Arial"/>
                <w:color w:val="000000"/>
                <w:sz w:val="18"/>
                <w:szCs w:val="18"/>
              </w:rPr>
              <w:t>(c) Smoked at least 100 cigarettes (manufactured and/or roll-your-own) or the equivalent amount of tobacco in their life and reported no longer smoking.</w:t>
            </w:r>
          </w:p>
        </w:tc>
      </w:tr>
      <w:tr w:rsidR="007D2E3F" w:rsidRPr="00DF0B2E" w14:paraId="10BB18CB" w14:textId="77777777" w:rsidTr="006F4813">
        <w:trPr>
          <w:gridBefore w:val="1"/>
          <w:wBefore w:w="136" w:type="pct"/>
          <w:trHeight w:val="199"/>
        </w:trPr>
        <w:tc>
          <w:tcPr>
            <w:tcW w:w="4864" w:type="pct"/>
            <w:gridSpan w:val="11"/>
            <w:tcBorders>
              <w:top w:val="nil"/>
              <w:left w:val="nil"/>
              <w:bottom w:val="nil"/>
              <w:right w:val="nil"/>
            </w:tcBorders>
            <w:shd w:val="clear" w:color="000000" w:fill="FFFFFF"/>
            <w:vAlign w:val="center"/>
            <w:hideMark/>
          </w:tcPr>
          <w:p w14:paraId="00E5F380" w14:textId="77777777" w:rsidR="007D2E3F" w:rsidRPr="00DF0B2E" w:rsidRDefault="007D2E3F" w:rsidP="00935578">
            <w:pPr>
              <w:widowControl w:val="0"/>
              <w:spacing w:line="240" w:lineRule="auto"/>
              <w:contextualSpacing/>
              <w:rPr>
                <w:rFonts w:cs="Arial"/>
                <w:color w:val="000000"/>
                <w:sz w:val="18"/>
                <w:szCs w:val="18"/>
              </w:rPr>
            </w:pPr>
            <w:r w:rsidRPr="00DF0B2E">
              <w:rPr>
                <w:rFonts w:cs="Arial"/>
                <w:color w:val="000000"/>
                <w:sz w:val="18"/>
                <w:szCs w:val="18"/>
              </w:rPr>
              <w:t>(d) Never smoked 100 cigarettes (manufactured and/or roll-your-own) or the equivalent amount of tobacco.</w:t>
            </w:r>
          </w:p>
        </w:tc>
      </w:tr>
      <w:tr w:rsidR="007D2E3F" w:rsidRPr="00DF0B2E" w14:paraId="0F24FE49" w14:textId="77777777" w:rsidTr="006F4813">
        <w:trPr>
          <w:gridBefore w:val="1"/>
          <w:wBefore w:w="136" w:type="pct"/>
          <w:trHeight w:val="199"/>
        </w:trPr>
        <w:tc>
          <w:tcPr>
            <w:tcW w:w="4864" w:type="pct"/>
            <w:gridSpan w:val="11"/>
            <w:tcBorders>
              <w:top w:val="nil"/>
              <w:left w:val="nil"/>
              <w:bottom w:val="nil"/>
              <w:right w:val="nil"/>
            </w:tcBorders>
            <w:shd w:val="clear" w:color="000000" w:fill="FFFFFF"/>
            <w:vAlign w:val="center"/>
            <w:hideMark/>
          </w:tcPr>
          <w:p w14:paraId="74B2EC6D" w14:textId="77777777" w:rsidR="007D2E3F" w:rsidRPr="00DF0B2E" w:rsidRDefault="007D2E3F" w:rsidP="00935578">
            <w:pPr>
              <w:widowControl w:val="0"/>
              <w:spacing w:line="240" w:lineRule="auto"/>
              <w:contextualSpacing/>
              <w:rPr>
                <w:rFonts w:cs="Arial"/>
                <w:color w:val="000000"/>
                <w:sz w:val="18"/>
                <w:szCs w:val="18"/>
              </w:rPr>
            </w:pPr>
            <w:r w:rsidRPr="00DF0B2E">
              <w:rPr>
                <w:rFonts w:cs="Arial"/>
                <w:color w:val="000000"/>
                <w:sz w:val="18"/>
                <w:szCs w:val="18"/>
              </w:rPr>
              <w:t>(e) Not consumed alcohol in the previous 12 months.</w:t>
            </w:r>
          </w:p>
        </w:tc>
      </w:tr>
      <w:tr w:rsidR="007D2E3F" w:rsidRPr="00DF0B2E" w14:paraId="2A646F1F" w14:textId="77777777" w:rsidTr="006F4813">
        <w:trPr>
          <w:gridBefore w:val="1"/>
          <w:wBefore w:w="136" w:type="pct"/>
          <w:trHeight w:val="199"/>
        </w:trPr>
        <w:tc>
          <w:tcPr>
            <w:tcW w:w="4864" w:type="pct"/>
            <w:gridSpan w:val="11"/>
            <w:tcBorders>
              <w:top w:val="nil"/>
              <w:left w:val="nil"/>
              <w:bottom w:val="nil"/>
              <w:right w:val="nil"/>
            </w:tcBorders>
            <w:shd w:val="clear" w:color="000000" w:fill="FFFFFF"/>
            <w:vAlign w:val="center"/>
            <w:hideMark/>
          </w:tcPr>
          <w:p w14:paraId="193BE8F3" w14:textId="77777777" w:rsidR="007D2E3F" w:rsidRPr="00DF0B2E" w:rsidRDefault="007D2E3F" w:rsidP="00935578">
            <w:pPr>
              <w:widowControl w:val="0"/>
              <w:spacing w:line="240" w:lineRule="auto"/>
              <w:contextualSpacing/>
              <w:rPr>
                <w:rFonts w:cs="Arial"/>
                <w:color w:val="000000"/>
                <w:sz w:val="18"/>
                <w:szCs w:val="18"/>
              </w:rPr>
            </w:pPr>
            <w:r w:rsidRPr="00DF0B2E">
              <w:rPr>
                <w:rFonts w:cs="Arial"/>
                <w:color w:val="000000"/>
                <w:sz w:val="18"/>
                <w:szCs w:val="18"/>
              </w:rPr>
              <w:t>(f) On average, had no more than 2 standard drinks per day.</w:t>
            </w:r>
          </w:p>
        </w:tc>
      </w:tr>
      <w:tr w:rsidR="007D2E3F" w:rsidRPr="00DF0B2E" w14:paraId="4628A2BE" w14:textId="77777777" w:rsidTr="006F4813">
        <w:trPr>
          <w:gridBefore w:val="1"/>
          <w:wBefore w:w="136" w:type="pct"/>
          <w:trHeight w:val="199"/>
        </w:trPr>
        <w:tc>
          <w:tcPr>
            <w:tcW w:w="4864" w:type="pct"/>
            <w:gridSpan w:val="11"/>
            <w:tcBorders>
              <w:top w:val="nil"/>
              <w:left w:val="nil"/>
              <w:bottom w:val="nil"/>
              <w:right w:val="nil"/>
            </w:tcBorders>
            <w:shd w:val="clear" w:color="000000" w:fill="FFFFFF"/>
            <w:vAlign w:val="center"/>
            <w:hideMark/>
          </w:tcPr>
          <w:p w14:paraId="6A07BE9E" w14:textId="77777777" w:rsidR="007D2E3F" w:rsidRPr="00DF0B2E" w:rsidRDefault="007D2E3F" w:rsidP="00935578">
            <w:pPr>
              <w:widowControl w:val="0"/>
              <w:spacing w:line="240" w:lineRule="auto"/>
              <w:contextualSpacing/>
              <w:rPr>
                <w:rFonts w:cs="Arial"/>
                <w:color w:val="000000"/>
                <w:sz w:val="18"/>
                <w:szCs w:val="18"/>
              </w:rPr>
            </w:pPr>
            <w:r w:rsidRPr="00DF0B2E">
              <w:rPr>
                <w:rFonts w:cs="Arial"/>
                <w:color w:val="000000"/>
                <w:sz w:val="18"/>
                <w:szCs w:val="18"/>
              </w:rPr>
              <w:t>(g) On average, had more than 2 standard drinks per day.</w:t>
            </w:r>
          </w:p>
        </w:tc>
      </w:tr>
      <w:tr w:rsidR="007D2E3F" w:rsidRPr="00DF0B2E" w14:paraId="0E653164" w14:textId="77777777" w:rsidTr="006F4813">
        <w:trPr>
          <w:gridBefore w:val="1"/>
          <w:wBefore w:w="136" w:type="pct"/>
          <w:trHeight w:val="199"/>
        </w:trPr>
        <w:tc>
          <w:tcPr>
            <w:tcW w:w="4864" w:type="pct"/>
            <w:gridSpan w:val="11"/>
            <w:tcBorders>
              <w:top w:val="nil"/>
              <w:left w:val="nil"/>
              <w:bottom w:val="nil"/>
              <w:right w:val="nil"/>
            </w:tcBorders>
            <w:shd w:val="clear" w:color="000000" w:fill="FFFFFF"/>
            <w:vAlign w:val="center"/>
            <w:hideMark/>
          </w:tcPr>
          <w:p w14:paraId="1FF829B8" w14:textId="77777777" w:rsidR="007D2E3F" w:rsidRPr="00DF0B2E" w:rsidRDefault="007D2E3F" w:rsidP="00935578">
            <w:pPr>
              <w:widowControl w:val="0"/>
              <w:spacing w:line="240" w:lineRule="auto"/>
              <w:contextualSpacing/>
              <w:rPr>
                <w:rFonts w:cs="Arial"/>
                <w:color w:val="000000"/>
                <w:sz w:val="18"/>
                <w:szCs w:val="18"/>
              </w:rPr>
            </w:pPr>
            <w:r w:rsidRPr="00DF0B2E">
              <w:rPr>
                <w:rFonts w:cs="Arial"/>
                <w:color w:val="000000"/>
                <w:sz w:val="18"/>
                <w:szCs w:val="18"/>
              </w:rPr>
              <w:t>(h) Never had more than 4 standard drinks on any occasion.</w:t>
            </w:r>
          </w:p>
        </w:tc>
      </w:tr>
      <w:tr w:rsidR="007D2E3F" w:rsidRPr="00DF0B2E" w14:paraId="24B49B67" w14:textId="77777777" w:rsidTr="006F4813">
        <w:trPr>
          <w:gridBefore w:val="1"/>
          <w:wBefore w:w="136" w:type="pct"/>
          <w:trHeight w:val="199"/>
        </w:trPr>
        <w:tc>
          <w:tcPr>
            <w:tcW w:w="4864" w:type="pct"/>
            <w:gridSpan w:val="11"/>
            <w:tcBorders>
              <w:top w:val="nil"/>
              <w:left w:val="nil"/>
              <w:bottom w:val="nil"/>
              <w:right w:val="nil"/>
            </w:tcBorders>
            <w:shd w:val="clear" w:color="000000" w:fill="FFFFFF"/>
            <w:vAlign w:val="center"/>
            <w:hideMark/>
          </w:tcPr>
          <w:p w14:paraId="5B248FFC" w14:textId="77777777" w:rsidR="007D2E3F" w:rsidRPr="00DF0B2E" w:rsidRDefault="007D2E3F" w:rsidP="00935578">
            <w:pPr>
              <w:widowControl w:val="0"/>
              <w:spacing w:line="240" w:lineRule="auto"/>
              <w:contextualSpacing/>
              <w:rPr>
                <w:rFonts w:cs="Arial"/>
                <w:color w:val="000000"/>
                <w:sz w:val="18"/>
                <w:szCs w:val="18"/>
              </w:rPr>
            </w:pPr>
            <w:r w:rsidRPr="00DF0B2E">
              <w:rPr>
                <w:rFonts w:cs="Arial"/>
                <w:color w:val="000000"/>
                <w:sz w:val="18"/>
                <w:szCs w:val="18"/>
              </w:rPr>
              <w:t>(i) Had more than 4 standard drinks at least once a year but not as often as monthly.</w:t>
            </w:r>
          </w:p>
        </w:tc>
      </w:tr>
      <w:tr w:rsidR="007D2E3F" w:rsidRPr="00DF0B2E" w14:paraId="717ECF87" w14:textId="77777777" w:rsidTr="006F4813">
        <w:trPr>
          <w:gridBefore w:val="1"/>
          <w:wBefore w:w="136" w:type="pct"/>
          <w:trHeight w:val="199"/>
        </w:trPr>
        <w:tc>
          <w:tcPr>
            <w:tcW w:w="4864" w:type="pct"/>
            <w:gridSpan w:val="11"/>
            <w:tcBorders>
              <w:top w:val="nil"/>
              <w:left w:val="nil"/>
              <w:bottom w:val="nil"/>
              <w:right w:val="nil"/>
            </w:tcBorders>
            <w:shd w:val="clear" w:color="000000" w:fill="FFFFFF"/>
            <w:vAlign w:val="center"/>
            <w:hideMark/>
          </w:tcPr>
          <w:p w14:paraId="3FBA84A0" w14:textId="77777777" w:rsidR="007D2E3F" w:rsidRPr="00DF0B2E" w:rsidRDefault="007D2E3F" w:rsidP="00935578">
            <w:pPr>
              <w:widowControl w:val="0"/>
              <w:spacing w:line="240" w:lineRule="auto"/>
              <w:contextualSpacing/>
              <w:rPr>
                <w:rFonts w:cs="Arial"/>
                <w:color w:val="000000"/>
                <w:sz w:val="18"/>
                <w:szCs w:val="18"/>
              </w:rPr>
            </w:pPr>
            <w:r w:rsidRPr="00DF0B2E">
              <w:rPr>
                <w:rFonts w:cs="Arial"/>
                <w:color w:val="000000"/>
                <w:sz w:val="18"/>
                <w:szCs w:val="18"/>
              </w:rPr>
              <w:t>(j) Had more than 4 standard drinks at least once a month but not as often as weekly.</w:t>
            </w:r>
          </w:p>
        </w:tc>
      </w:tr>
      <w:tr w:rsidR="007D2E3F" w:rsidRPr="00DF0B2E" w14:paraId="1211AFD8" w14:textId="77777777" w:rsidTr="006F4813">
        <w:trPr>
          <w:gridBefore w:val="1"/>
          <w:wBefore w:w="136" w:type="pct"/>
          <w:trHeight w:val="199"/>
        </w:trPr>
        <w:tc>
          <w:tcPr>
            <w:tcW w:w="4864" w:type="pct"/>
            <w:gridSpan w:val="11"/>
            <w:tcBorders>
              <w:top w:val="nil"/>
              <w:left w:val="nil"/>
              <w:bottom w:val="nil"/>
              <w:right w:val="nil"/>
            </w:tcBorders>
            <w:shd w:val="clear" w:color="000000" w:fill="FFFFFF"/>
            <w:vAlign w:val="center"/>
            <w:hideMark/>
          </w:tcPr>
          <w:p w14:paraId="28EC7358" w14:textId="77777777" w:rsidR="007D2E3F" w:rsidRPr="00DF0B2E" w:rsidRDefault="007D2E3F" w:rsidP="00935578">
            <w:pPr>
              <w:widowControl w:val="0"/>
              <w:spacing w:line="240" w:lineRule="auto"/>
              <w:contextualSpacing/>
              <w:rPr>
                <w:rFonts w:cs="Arial"/>
                <w:color w:val="000000"/>
                <w:sz w:val="18"/>
                <w:szCs w:val="18"/>
              </w:rPr>
            </w:pPr>
            <w:r w:rsidRPr="00DF0B2E">
              <w:rPr>
                <w:rFonts w:cs="Arial"/>
                <w:color w:val="000000"/>
                <w:sz w:val="18"/>
                <w:szCs w:val="18"/>
              </w:rPr>
              <w:t>(k) Used at least 1 of 16 illicit drugs in 2016.</w:t>
            </w:r>
          </w:p>
        </w:tc>
      </w:tr>
    </w:tbl>
    <w:p w14:paraId="115FEA2B" w14:textId="77777777" w:rsidR="00996CFE" w:rsidRPr="004C744B" w:rsidRDefault="00996CFE" w:rsidP="00996CFE">
      <w:pPr>
        <w:pStyle w:val="Heading3"/>
        <w:rPr>
          <w:sz w:val="24"/>
          <w:szCs w:val="24"/>
        </w:rPr>
      </w:pPr>
      <w:r w:rsidRPr="004C744B">
        <w:rPr>
          <w:sz w:val="24"/>
          <w:szCs w:val="24"/>
        </w:rPr>
        <w:t xml:space="preserve">AIHW Australian Drug Trends Update 2019 </w:t>
      </w:r>
    </w:p>
    <w:p w14:paraId="79655282" w14:textId="6B680A4C" w:rsidR="007D2E3F" w:rsidRDefault="007D2E3F" w:rsidP="00935578">
      <w:pPr>
        <w:spacing w:line="260" w:lineRule="atLeast"/>
      </w:pPr>
      <w:r>
        <w:t xml:space="preserve">The </w:t>
      </w:r>
      <w:r w:rsidRPr="00996CFE">
        <w:t>AIHW Australian Drug Trends Update 2019</w:t>
      </w:r>
      <w:r>
        <w:t xml:space="preserve"> (AIHW, 2019a) showed that the lifetime risk status of people aged 14 and above in Tasmania was 64.5 per cent of Tasmanians at low risk (on average, no more than 2 standard drinks per day) and 18.6 per cent at risky levels (on average, more than 2 standard drinks per day).</w:t>
      </w:r>
    </w:p>
    <w:p w14:paraId="6CC154D3" w14:textId="4FE02660" w:rsidR="00996CFE" w:rsidRPr="004C744B" w:rsidRDefault="00996CFE" w:rsidP="00996CFE">
      <w:pPr>
        <w:pStyle w:val="Heading3"/>
        <w:rPr>
          <w:sz w:val="24"/>
          <w:szCs w:val="24"/>
        </w:rPr>
      </w:pPr>
      <w:r w:rsidRPr="004C744B">
        <w:rPr>
          <w:sz w:val="24"/>
          <w:szCs w:val="24"/>
        </w:rPr>
        <w:t xml:space="preserve">National Health Survey 2017-18 First Results </w:t>
      </w:r>
    </w:p>
    <w:p w14:paraId="3F1B2E6D" w14:textId="0CD1EEC3" w:rsidR="007D2E3F" w:rsidRPr="00113034" w:rsidRDefault="007D2E3F" w:rsidP="00935578">
      <w:pPr>
        <w:spacing w:line="260" w:lineRule="atLeast"/>
        <w:rPr>
          <w:rFonts w:cs="Arial"/>
        </w:rPr>
      </w:pPr>
      <w:r w:rsidRPr="00113034">
        <w:t xml:space="preserve">The </w:t>
      </w:r>
      <w:r w:rsidRPr="00996CFE">
        <w:t xml:space="preserve">National Health Survey 2017-18 First Results </w:t>
      </w:r>
      <w:r w:rsidRPr="00113034">
        <w:t>(ABS, 2019)</w:t>
      </w:r>
      <w:r>
        <w:t xml:space="preserve"> </w:t>
      </w:r>
      <w:r w:rsidRPr="00113034">
        <w:rPr>
          <w:rFonts w:cs="Arial"/>
        </w:rPr>
        <w:t>is the most recent in a series of Australia-wide health surveys conducted by</w:t>
      </w:r>
      <w:r>
        <w:rPr>
          <w:rFonts w:cs="Arial"/>
        </w:rPr>
        <w:t xml:space="preserve"> </w:t>
      </w:r>
      <w:r w:rsidRPr="00113034">
        <w:rPr>
          <w:rFonts w:cs="Arial"/>
        </w:rPr>
        <w:t>the Australian Bureau of Statistics. The survey was designed to collect a range of information about the health of</w:t>
      </w:r>
      <w:r>
        <w:rPr>
          <w:rFonts w:cs="Arial"/>
        </w:rPr>
        <w:t xml:space="preserve"> </w:t>
      </w:r>
      <w:r w:rsidRPr="00113034">
        <w:rPr>
          <w:rFonts w:cs="Arial"/>
        </w:rPr>
        <w:t>Australians, including:</w:t>
      </w:r>
    </w:p>
    <w:p w14:paraId="10D0E657" w14:textId="77777777" w:rsidR="007D2E3F" w:rsidRPr="00113034" w:rsidRDefault="007D2E3F" w:rsidP="00935578">
      <w:pPr>
        <w:pStyle w:val="ListParagraph"/>
        <w:numPr>
          <w:ilvl w:val="0"/>
          <w:numId w:val="61"/>
        </w:numPr>
        <w:autoSpaceDE w:val="0"/>
        <w:autoSpaceDN w:val="0"/>
        <w:adjustRightInd w:val="0"/>
        <w:spacing w:before="0" w:after="140" w:line="260" w:lineRule="atLeast"/>
        <w:rPr>
          <w:rFonts w:ascii="Gill Sans MT" w:hAnsi="Gill Sans MT" w:cs="Arial"/>
          <w:sz w:val="22"/>
        </w:rPr>
      </w:pPr>
      <w:r w:rsidRPr="00113034">
        <w:rPr>
          <w:rFonts w:ascii="Gill Sans MT" w:hAnsi="Gill Sans MT" w:cs="Arial"/>
          <w:sz w:val="22"/>
        </w:rPr>
        <w:t>prevalence of long-term health conditions;</w:t>
      </w:r>
    </w:p>
    <w:p w14:paraId="392149CF" w14:textId="77777777" w:rsidR="007D2E3F" w:rsidRPr="00113034" w:rsidRDefault="007D2E3F" w:rsidP="00935578">
      <w:pPr>
        <w:pStyle w:val="ListParagraph"/>
        <w:numPr>
          <w:ilvl w:val="0"/>
          <w:numId w:val="61"/>
        </w:numPr>
        <w:autoSpaceDE w:val="0"/>
        <w:autoSpaceDN w:val="0"/>
        <w:adjustRightInd w:val="0"/>
        <w:spacing w:before="0" w:after="140" w:line="260" w:lineRule="atLeast"/>
        <w:rPr>
          <w:rFonts w:ascii="Gill Sans MT" w:hAnsi="Gill Sans MT" w:cs="Arial"/>
          <w:sz w:val="22"/>
        </w:rPr>
      </w:pPr>
      <w:r w:rsidRPr="00113034">
        <w:rPr>
          <w:rFonts w:ascii="Gill Sans MT" w:hAnsi="Gill Sans MT" w:cs="Arial"/>
          <w:sz w:val="22"/>
        </w:rPr>
        <w:t>health risk factors such as smoking, overweight and obesity, alcohol consumption and physical activity; and</w:t>
      </w:r>
    </w:p>
    <w:p w14:paraId="4D195880" w14:textId="77777777" w:rsidR="007D2E3F" w:rsidRDefault="007D2E3F" w:rsidP="00935578">
      <w:pPr>
        <w:pStyle w:val="ListParagraph"/>
        <w:numPr>
          <w:ilvl w:val="0"/>
          <w:numId w:val="61"/>
        </w:numPr>
        <w:autoSpaceDE w:val="0"/>
        <w:autoSpaceDN w:val="0"/>
        <w:adjustRightInd w:val="0"/>
        <w:spacing w:before="0" w:after="140" w:line="260" w:lineRule="atLeast"/>
        <w:rPr>
          <w:rFonts w:ascii="Gill Sans MT" w:hAnsi="Gill Sans MT" w:cs="Arial"/>
          <w:sz w:val="22"/>
        </w:rPr>
      </w:pPr>
      <w:r w:rsidRPr="00113034">
        <w:rPr>
          <w:rFonts w:ascii="Gill Sans MT" w:hAnsi="Gill Sans MT" w:cs="Arial"/>
          <w:sz w:val="22"/>
        </w:rPr>
        <w:t>demographic and socioeconomic characteristics.</w:t>
      </w:r>
    </w:p>
    <w:p w14:paraId="6064F938" w14:textId="77777777" w:rsidR="007D2E3F" w:rsidRPr="00113034" w:rsidRDefault="007D2E3F" w:rsidP="00935578">
      <w:pPr>
        <w:autoSpaceDE w:val="0"/>
        <w:autoSpaceDN w:val="0"/>
        <w:adjustRightInd w:val="0"/>
        <w:spacing w:line="260" w:lineRule="atLeast"/>
        <w:rPr>
          <w:rFonts w:cs="Arial"/>
        </w:rPr>
      </w:pPr>
      <w:r>
        <w:rPr>
          <w:rFonts w:cs="Arial"/>
        </w:rPr>
        <w:t>Age standardised f</w:t>
      </w:r>
      <w:r w:rsidRPr="00113034">
        <w:rPr>
          <w:rFonts w:cs="Arial"/>
        </w:rPr>
        <w:t xml:space="preserve">irst results for </w:t>
      </w:r>
      <w:r>
        <w:rPr>
          <w:rFonts w:cs="Arial"/>
        </w:rPr>
        <w:t xml:space="preserve">2017-18 for </w:t>
      </w:r>
      <w:r w:rsidRPr="00113034">
        <w:rPr>
          <w:rFonts w:cs="Arial"/>
        </w:rPr>
        <w:t>Tasmania show:</w:t>
      </w:r>
    </w:p>
    <w:p w14:paraId="1CB9C791" w14:textId="77777777" w:rsidR="007D2E3F" w:rsidRDefault="007D2E3F" w:rsidP="00935578">
      <w:pPr>
        <w:pStyle w:val="ListParagraph"/>
        <w:numPr>
          <w:ilvl w:val="0"/>
          <w:numId w:val="61"/>
        </w:numPr>
        <w:autoSpaceDE w:val="0"/>
        <w:autoSpaceDN w:val="0"/>
        <w:adjustRightInd w:val="0"/>
        <w:spacing w:before="0" w:after="140" w:line="260" w:lineRule="atLeast"/>
        <w:ind w:left="425" w:hanging="425"/>
        <w:contextualSpacing w:val="0"/>
        <w:rPr>
          <w:rFonts w:ascii="Gill Sans MT" w:hAnsi="Gill Sans MT" w:cs="Arial"/>
          <w:sz w:val="22"/>
        </w:rPr>
      </w:pPr>
      <w:r>
        <w:rPr>
          <w:rFonts w:ascii="Gill Sans MT" w:hAnsi="Gill Sans MT" w:cs="Arial"/>
          <w:sz w:val="22"/>
        </w:rPr>
        <w:t>Tasmania still has the second highest rate of current smokers (behind the Northern Territory) at 17.6 per cent and statistically significantly higher than the Australian rate of 15.5 per cent.</w:t>
      </w:r>
    </w:p>
    <w:p w14:paraId="42CD7209" w14:textId="5B965B11" w:rsidR="007D2E3F" w:rsidRPr="005559C2" w:rsidRDefault="007D2E3F" w:rsidP="005559C2">
      <w:pPr>
        <w:pStyle w:val="ListParagraph"/>
        <w:numPr>
          <w:ilvl w:val="0"/>
          <w:numId w:val="61"/>
        </w:numPr>
        <w:autoSpaceDE w:val="0"/>
        <w:autoSpaceDN w:val="0"/>
        <w:adjustRightInd w:val="0"/>
        <w:spacing w:before="0" w:after="140" w:line="260" w:lineRule="atLeast"/>
        <w:ind w:left="425" w:hanging="425"/>
        <w:contextualSpacing w:val="0"/>
        <w:rPr>
          <w:rFonts w:ascii="Gill Sans MT" w:hAnsi="Gill Sans MT" w:cs="Arial"/>
          <w:sz w:val="22"/>
        </w:rPr>
      </w:pPr>
      <w:r>
        <w:rPr>
          <w:rFonts w:ascii="Gill Sans MT" w:hAnsi="Gill Sans MT" w:cs="Arial"/>
          <w:sz w:val="22"/>
        </w:rPr>
        <w:t xml:space="preserve">Tasmania experienced the second highest decline in daily smokers (behind Western Australia) with a shift from 19.3 to 17.4 per cent between 2014-15 and 2017-18, a decline of -1.9 per cent. </w:t>
      </w:r>
    </w:p>
    <w:p w14:paraId="5E9CAAAB" w14:textId="77777777" w:rsidR="007D2E3F" w:rsidRPr="00CA3676" w:rsidRDefault="007D2E3F" w:rsidP="00935578">
      <w:pPr>
        <w:pStyle w:val="ListBullet"/>
        <w:numPr>
          <w:ilvl w:val="0"/>
          <w:numId w:val="62"/>
        </w:numPr>
        <w:tabs>
          <w:tab w:val="clear" w:pos="567"/>
          <w:tab w:val="left" w:pos="1134"/>
        </w:tabs>
        <w:spacing w:line="260" w:lineRule="atLeast"/>
        <w:ind w:left="425" w:hanging="425"/>
        <w:rPr>
          <w:rFonts w:cstheme="minorHAnsi"/>
        </w:rPr>
      </w:pPr>
      <w:r w:rsidRPr="00CA3676">
        <w:t>By gender, trend data shows a gradual decline in smoking by both adult men and women over the last fifteen years. The gap in smoking rates between men (19.3</w:t>
      </w:r>
      <w:r w:rsidR="00307CDF">
        <w:t xml:space="preserve"> per cent</w:t>
      </w:r>
      <w:r w:rsidRPr="00CA3676">
        <w:t>) and women (15.7</w:t>
      </w:r>
      <w:r w:rsidR="00307CDF">
        <w:t xml:space="preserve"> per cent</w:t>
      </w:r>
      <w:r w:rsidRPr="00CA3676">
        <w:t>) of 3.6 per cent in 2017-18 is the smallest it has been for the last ten years.</w:t>
      </w:r>
    </w:p>
    <w:p w14:paraId="3B4C5570" w14:textId="77777777" w:rsidR="007D2E3F" w:rsidRPr="00CA3676" w:rsidRDefault="007D2E3F" w:rsidP="00935578">
      <w:pPr>
        <w:pStyle w:val="ListBullet"/>
        <w:numPr>
          <w:ilvl w:val="0"/>
          <w:numId w:val="62"/>
        </w:numPr>
        <w:tabs>
          <w:tab w:val="clear" w:pos="567"/>
          <w:tab w:val="left" w:pos="1134"/>
        </w:tabs>
        <w:spacing w:line="260" w:lineRule="atLeast"/>
        <w:ind w:left="425" w:hanging="425"/>
        <w:rPr>
          <w:rFonts w:cstheme="minorHAnsi"/>
        </w:rPr>
      </w:pPr>
      <w:r w:rsidRPr="00CA3676">
        <w:t xml:space="preserve">By age among adults, the decline in prevalence of current smokers from 2014-15 to 2017-18 in was greatest among 35 to </w:t>
      </w:r>
      <w:proofErr w:type="gramStart"/>
      <w:r w:rsidRPr="00CA3676">
        <w:t>44 year-olds</w:t>
      </w:r>
      <w:proofErr w:type="gramEnd"/>
      <w:r w:rsidRPr="00CA3676">
        <w:t xml:space="preserve"> (6.5</w:t>
      </w:r>
      <w:r w:rsidR="00307CDF">
        <w:t xml:space="preserve"> per cent</w:t>
      </w:r>
      <w:r w:rsidRPr="00CA3676">
        <w:t>, from 28.7</w:t>
      </w:r>
      <w:r w:rsidR="00307CDF">
        <w:t xml:space="preserve"> per cent</w:t>
      </w:r>
      <w:r w:rsidRPr="00CA3676">
        <w:t xml:space="preserve"> to 21.8</w:t>
      </w:r>
      <w:r w:rsidR="00307CDF">
        <w:t xml:space="preserve"> per cent</w:t>
      </w:r>
      <w:r w:rsidRPr="00CA3676">
        <w:t>) and 25 to 34 year-olds (3.8</w:t>
      </w:r>
      <w:r w:rsidR="00307CDF">
        <w:t xml:space="preserve"> per cent</w:t>
      </w:r>
      <w:r w:rsidRPr="00CA3676">
        <w:t>, from 23.8</w:t>
      </w:r>
      <w:r w:rsidR="00307CDF">
        <w:t xml:space="preserve"> per cent</w:t>
      </w:r>
      <w:r w:rsidRPr="00CA3676">
        <w:t xml:space="preserve"> to 20.0</w:t>
      </w:r>
      <w:r w:rsidR="00307CDF">
        <w:t xml:space="preserve"> per cent</w:t>
      </w:r>
      <w:r w:rsidRPr="00CA3676">
        <w:t>).</w:t>
      </w:r>
    </w:p>
    <w:p w14:paraId="7A767211" w14:textId="77777777" w:rsidR="007D2E3F" w:rsidRPr="00001708" w:rsidRDefault="007D2E3F" w:rsidP="00935578">
      <w:pPr>
        <w:pStyle w:val="ListParagraph"/>
        <w:numPr>
          <w:ilvl w:val="0"/>
          <w:numId w:val="62"/>
        </w:numPr>
        <w:autoSpaceDE w:val="0"/>
        <w:autoSpaceDN w:val="0"/>
        <w:adjustRightInd w:val="0"/>
        <w:spacing w:before="0" w:after="140" w:line="260" w:lineRule="atLeast"/>
        <w:ind w:left="425" w:hanging="425"/>
        <w:rPr>
          <w:rFonts w:ascii="Gill Sans MT" w:hAnsi="Gill Sans MT" w:cs="Gill Sans MT"/>
          <w:color w:val="000000"/>
          <w:sz w:val="22"/>
        </w:rPr>
      </w:pPr>
      <w:r w:rsidRPr="00001708">
        <w:rPr>
          <w:rFonts w:ascii="Gill Sans MT" w:hAnsi="Gill Sans MT" w:cs="Gill Sans MT"/>
          <w:color w:val="000000"/>
          <w:sz w:val="22"/>
        </w:rPr>
        <w:t>Of all Tasmanians aged 18 years and over who live in the most disadvantaged geographic areas (quintile 1) about one in four (24.2</w:t>
      </w:r>
      <w:r>
        <w:rPr>
          <w:rFonts w:ascii="Gill Sans MT" w:hAnsi="Gill Sans MT" w:cs="Gill Sans MT"/>
          <w:color w:val="000000"/>
          <w:sz w:val="22"/>
        </w:rPr>
        <w:t xml:space="preserve"> per cent</w:t>
      </w:r>
      <w:r w:rsidRPr="00001708">
        <w:rPr>
          <w:rFonts w:ascii="Gill Sans MT" w:hAnsi="Gill Sans MT" w:cs="Gill Sans MT"/>
          <w:color w:val="000000"/>
          <w:sz w:val="22"/>
        </w:rPr>
        <w:t xml:space="preserve">) are </w:t>
      </w:r>
      <w:r w:rsidRPr="00001708">
        <w:rPr>
          <w:rFonts w:ascii="Gill Sans MT" w:hAnsi="Gill Sans MT" w:cs="Gill Sans MT"/>
          <w:i/>
          <w:iCs/>
          <w:color w:val="000000"/>
          <w:sz w:val="22"/>
        </w:rPr>
        <w:t>daily smokers</w:t>
      </w:r>
      <w:r w:rsidRPr="00001708">
        <w:rPr>
          <w:rFonts w:ascii="Gill Sans MT" w:hAnsi="Gill Sans MT" w:cs="Gill Sans MT"/>
          <w:color w:val="000000"/>
          <w:sz w:val="22"/>
        </w:rPr>
        <w:t>. Of those who reside in the least disadvantaged area (quintile 5) about one in thirteen (7.6</w:t>
      </w:r>
      <w:r>
        <w:rPr>
          <w:rFonts w:ascii="Gill Sans MT" w:hAnsi="Gill Sans MT" w:cs="Gill Sans MT"/>
          <w:color w:val="000000"/>
          <w:sz w:val="22"/>
        </w:rPr>
        <w:t xml:space="preserve"> per cent</w:t>
      </w:r>
      <w:r w:rsidRPr="00001708">
        <w:rPr>
          <w:rFonts w:ascii="Gill Sans MT" w:hAnsi="Gill Sans MT" w:cs="Gill Sans MT"/>
          <w:color w:val="000000"/>
          <w:sz w:val="22"/>
        </w:rPr>
        <w:t xml:space="preserve">) are daily smokers. The difference between the proportions of smokers in these two quintiles is statistically significant. </w:t>
      </w:r>
    </w:p>
    <w:p w14:paraId="2D02E1D9" w14:textId="77777777" w:rsidR="007D2E3F" w:rsidRPr="00001708" w:rsidRDefault="007D2E3F" w:rsidP="007D2E3F">
      <w:pPr>
        <w:autoSpaceDE w:val="0"/>
        <w:autoSpaceDN w:val="0"/>
        <w:adjustRightInd w:val="0"/>
        <w:spacing w:line="260" w:lineRule="atLeast"/>
        <w:jc w:val="center"/>
        <w:rPr>
          <w:rFonts w:cs="Gill Sans MT"/>
          <w:color w:val="000000"/>
        </w:rPr>
      </w:pPr>
      <w:r>
        <w:rPr>
          <w:rFonts w:cs="Gill Sans MT"/>
          <w:noProof/>
          <w:color w:val="000000"/>
          <w:lang w:eastAsia="en-AU"/>
        </w:rPr>
        <w:lastRenderedPageBreak/>
        <w:drawing>
          <wp:inline distT="0" distB="0" distL="0" distR="0" wp14:anchorId="607B11D0" wp14:editId="568DCDF3">
            <wp:extent cx="3510951" cy="2422089"/>
            <wp:effectExtent l="0" t="0" r="0" b="0"/>
            <wp:docPr id="8" name="Picture 8" descr="Bar chart titled 'Proportion of daily smokers by socio-economic quintile 18 years and over Tasmania 2017/18' this information is included in the previous bulle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8865C.tmp"/>
                    <pic:cNvPicPr/>
                  </pic:nvPicPr>
                  <pic:blipFill rotWithShape="1">
                    <a:blip r:embed="rId31">
                      <a:extLst>
                        <a:ext uri="{28A0092B-C50C-407E-A947-70E740481C1C}">
                          <a14:useLocalDpi xmlns:a14="http://schemas.microsoft.com/office/drawing/2010/main" val="0"/>
                        </a:ext>
                      </a:extLst>
                    </a:blip>
                    <a:srcRect l="8509" t="36246" r="51889" b="28347"/>
                    <a:stretch/>
                  </pic:blipFill>
                  <pic:spPr bwMode="auto">
                    <a:xfrm>
                      <a:off x="0" y="0"/>
                      <a:ext cx="3553324" cy="2451320"/>
                    </a:xfrm>
                    <a:prstGeom prst="rect">
                      <a:avLst/>
                    </a:prstGeom>
                    <a:ln>
                      <a:noFill/>
                    </a:ln>
                    <a:extLst>
                      <a:ext uri="{53640926-AAD7-44D8-BBD7-CCE9431645EC}">
                        <a14:shadowObscured xmlns:a14="http://schemas.microsoft.com/office/drawing/2010/main"/>
                      </a:ext>
                    </a:extLst>
                  </pic:spPr>
                </pic:pic>
              </a:graphicData>
            </a:graphic>
          </wp:inline>
        </w:drawing>
      </w:r>
    </w:p>
    <w:p w14:paraId="629F1C6B" w14:textId="77777777" w:rsidR="007D2E3F" w:rsidRDefault="007D2E3F" w:rsidP="00DD5945">
      <w:pPr>
        <w:pStyle w:val="ListParagraph"/>
        <w:numPr>
          <w:ilvl w:val="0"/>
          <w:numId w:val="52"/>
        </w:numPr>
        <w:autoSpaceDE w:val="0"/>
        <w:autoSpaceDN w:val="0"/>
        <w:adjustRightInd w:val="0"/>
        <w:spacing w:before="0" w:after="140" w:line="260" w:lineRule="atLeast"/>
        <w:ind w:left="567" w:hanging="567"/>
        <w:rPr>
          <w:rFonts w:ascii="Gill Sans MT" w:hAnsi="Gill Sans MT" w:cs="Gill Sans MT"/>
          <w:color w:val="000000"/>
          <w:sz w:val="22"/>
        </w:rPr>
      </w:pPr>
      <w:bookmarkStart w:id="17" w:name="_Hlk19190839"/>
      <w:r>
        <w:rPr>
          <w:rFonts w:ascii="Gill Sans MT" w:hAnsi="Gill Sans MT" w:cs="Gill Sans MT"/>
          <w:color w:val="000000"/>
          <w:sz w:val="22"/>
        </w:rPr>
        <w:t>Around two in 5 Tasmanian adults aged 18 and over</w:t>
      </w:r>
      <w:r w:rsidRPr="00A7577A">
        <w:rPr>
          <w:rFonts w:ascii="Gill Sans MT" w:hAnsi="Gill Sans MT" w:cs="Gill Sans MT"/>
          <w:color w:val="000000"/>
          <w:sz w:val="22"/>
        </w:rPr>
        <w:t xml:space="preserve"> (</w:t>
      </w:r>
      <w:r>
        <w:rPr>
          <w:rFonts w:ascii="Gill Sans MT" w:hAnsi="Gill Sans MT" w:cs="Gill Sans MT"/>
          <w:color w:val="000000"/>
          <w:sz w:val="22"/>
        </w:rPr>
        <w:t>49</w:t>
      </w:r>
      <w:r w:rsidRPr="00A7577A">
        <w:rPr>
          <w:rFonts w:ascii="Gill Sans MT" w:hAnsi="Gill Sans MT" w:cs="Gill Sans MT"/>
          <w:color w:val="000000"/>
          <w:sz w:val="22"/>
        </w:rPr>
        <w:t xml:space="preserve"> per cent) consume</w:t>
      </w:r>
      <w:r>
        <w:rPr>
          <w:rFonts w:ascii="Gill Sans MT" w:hAnsi="Gill Sans MT" w:cs="Gill Sans MT"/>
          <w:color w:val="000000"/>
          <w:sz w:val="22"/>
        </w:rPr>
        <w:t>d</w:t>
      </w:r>
      <w:r w:rsidRPr="00A7577A">
        <w:rPr>
          <w:rFonts w:ascii="Gill Sans MT" w:hAnsi="Gill Sans MT" w:cs="Gill Sans MT"/>
          <w:color w:val="000000"/>
          <w:sz w:val="22"/>
        </w:rPr>
        <w:t xml:space="preserve"> more than four standard drinks on one occasion, exceeding the single occasion risk guideline. This was just over the 43.2 per cent Australia-wide.</w:t>
      </w:r>
    </w:p>
    <w:bookmarkEnd w:id="17"/>
    <w:p w14:paraId="0D1225DE" w14:textId="77777777" w:rsidR="007D2E3F" w:rsidRPr="00DA131C" w:rsidRDefault="007D2E3F" w:rsidP="007D2E3F">
      <w:pPr>
        <w:autoSpaceDE w:val="0"/>
        <w:autoSpaceDN w:val="0"/>
        <w:adjustRightInd w:val="0"/>
        <w:spacing w:line="260" w:lineRule="atLeast"/>
        <w:jc w:val="center"/>
        <w:rPr>
          <w:rFonts w:cs="Gill Sans MT"/>
          <w:color w:val="000000"/>
        </w:rPr>
      </w:pPr>
      <w:r>
        <w:rPr>
          <w:noProof/>
          <w:lang w:eastAsia="en-AU"/>
        </w:rPr>
        <w:drawing>
          <wp:inline distT="0" distB="0" distL="0" distR="0" wp14:anchorId="4F8979A1" wp14:editId="73211598">
            <wp:extent cx="3830129" cy="2052787"/>
            <wp:effectExtent l="0" t="0" r="18415" b="5080"/>
            <wp:docPr id="14" name="Chart 14" descr="Line graph titled 'Alcohol consumption - exceed single occasion risk guidelines' this information is included in bullet point above.">
              <a:extLst xmlns:a="http://schemas.openxmlformats.org/drawingml/2006/main">
                <a:ext uri="{FF2B5EF4-FFF2-40B4-BE49-F238E27FC236}">
                  <a16:creationId xmlns:a16="http://schemas.microsoft.com/office/drawing/2014/main" id="{1EC02E92-D6C0-44A5-AD34-5BBD5C7F72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4365D5" w14:textId="77777777" w:rsidR="007D2E3F" w:rsidRDefault="007D2E3F" w:rsidP="00935578">
      <w:pPr>
        <w:pStyle w:val="ListParagraph"/>
        <w:numPr>
          <w:ilvl w:val="0"/>
          <w:numId w:val="52"/>
        </w:numPr>
        <w:autoSpaceDE w:val="0"/>
        <w:autoSpaceDN w:val="0"/>
        <w:adjustRightInd w:val="0"/>
        <w:spacing w:before="0" w:after="140" w:line="260" w:lineRule="atLeast"/>
        <w:ind w:left="567" w:hanging="567"/>
        <w:rPr>
          <w:rFonts w:ascii="Gill Sans MT" w:hAnsi="Gill Sans MT" w:cs="Gill Sans MT"/>
          <w:color w:val="000000"/>
          <w:sz w:val="22"/>
        </w:rPr>
      </w:pPr>
      <w:r w:rsidRPr="00A7577A">
        <w:rPr>
          <w:rFonts w:ascii="Gill Sans MT" w:hAnsi="Gill Sans MT" w:cs="Gill Sans MT"/>
          <w:color w:val="000000"/>
          <w:sz w:val="22"/>
        </w:rPr>
        <w:t>One in six (16.7 per cent) consumed more than two standard drinks per day on average, exceeding the lifetime risk guideline, compared to 16 per cent nationally.</w:t>
      </w:r>
    </w:p>
    <w:p w14:paraId="10A647FE" w14:textId="77777777" w:rsidR="007D2E3F" w:rsidRPr="00DA131C" w:rsidRDefault="007D2E3F" w:rsidP="007D2E3F">
      <w:pPr>
        <w:autoSpaceDE w:val="0"/>
        <w:autoSpaceDN w:val="0"/>
        <w:adjustRightInd w:val="0"/>
        <w:spacing w:line="260" w:lineRule="atLeast"/>
        <w:jc w:val="center"/>
        <w:rPr>
          <w:rFonts w:cs="Gill Sans MT"/>
          <w:color w:val="000000"/>
        </w:rPr>
      </w:pPr>
      <w:r>
        <w:rPr>
          <w:noProof/>
          <w:lang w:eastAsia="en-AU"/>
        </w:rPr>
        <w:drawing>
          <wp:inline distT="0" distB="0" distL="0" distR="0" wp14:anchorId="2FB7DADB" wp14:editId="3D4A231D">
            <wp:extent cx="3795084" cy="2155190"/>
            <wp:effectExtent l="0" t="0" r="15240" b="16510"/>
            <wp:docPr id="15" name="Chart 15" descr="Line graph titled 'Alcohol consumption - exceed lifetime risk guidelines' this information is included in bullet point above.">
              <a:extLst xmlns:a="http://schemas.openxmlformats.org/drawingml/2006/main">
                <a:ext uri="{FF2B5EF4-FFF2-40B4-BE49-F238E27FC236}">
                  <a16:creationId xmlns:a16="http://schemas.microsoft.com/office/drawing/2014/main" id="{D0C156B3-2048-4689-82C1-F80DE6F2B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D570518" w14:textId="77777777" w:rsidR="00996CFE" w:rsidRPr="004C744B" w:rsidRDefault="00996CFE" w:rsidP="00996CFE">
      <w:pPr>
        <w:pStyle w:val="Heading3"/>
        <w:rPr>
          <w:sz w:val="24"/>
          <w:szCs w:val="24"/>
        </w:rPr>
      </w:pPr>
      <w:r w:rsidRPr="004C744B">
        <w:rPr>
          <w:sz w:val="24"/>
          <w:szCs w:val="24"/>
        </w:rPr>
        <w:t>Australian School Students Alcohol and Drug Survey (ASSAD)</w:t>
      </w:r>
      <w:r w:rsidRPr="004C744B">
        <w:rPr>
          <w:rStyle w:val="EndnoteReference"/>
          <w:b w:val="0"/>
          <w:sz w:val="24"/>
          <w:szCs w:val="24"/>
        </w:rPr>
        <w:t xml:space="preserve"> </w:t>
      </w:r>
      <w:r w:rsidRPr="004C744B">
        <w:rPr>
          <w:sz w:val="24"/>
          <w:szCs w:val="24"/>
        </w:rPr>
        <w:t xml:space="preserve">2017 </w:t>
      </w:r>
    </w:p>
    <w:p w14:paraId="562483CF" w14:textId="5BAB5155" w:rsidR="007D2E3F" w:rsidRDefault="007D2E3F" w:rsidP="00935578">
      <w:pPr>
        <w:spacing w:line="260" w:lineRule="atLeast"/>
      </w:pPr>
      <w:r w:rsidRPr="00AE5D8F">
        <w:t>The</w:t>
      </w:r>
      <w:r w:rsidRPr="00996CFE">
        <w:rPr>
          <w:rStyle w:val="EndnoteReference"/>
        </w:rPr>
        <w:t xml:space="preserve"> </w:t>
      </w:r>
      <w:r w:rsidRPr="00996CFE">
        <w:t>2017</w:t>
      </w:r>
      <w:r w:rsidR="00F97BDA">
        <w:t xml:space="preserve"> ASSAD</w:t>
      </w:r>
      <w:r w:rsidRPr="00AE5D8F">
        <w:t xml:space="preserve"> for Tasmania (Guerin &amp; Gascoyne, 2019) on the use of tobacco, alcohol, over-the-counter drugs (for non-medicinal purposes), and other licit and illicit substances, among school students aged 12 to 17 years in Tasmania was the 12</w:t>
      </w:r>
      <w:r w:rsidRPr="00AE5D8F">
        <w:rPr>
          <w:vertAlign w:val="superscript"/>
        </w:rPr>
        <w:t>th</w:t>
      </w:r>
      <w:r w:rsidRPr="00AE5D8F">
        <w:t xml:space="preserve"> in a series that began in 1984.  </w:t>
      </w:r>
    </w:p>
    <w:p w14:paraId="51E1804D" w14:textId="77777777" w:rsidR="007D2E3F" w:rsidRDefault="007D2E3F" w:rsidP="00935578">
      <w:pPr>
        <w:spacing w:line="260" w:lineRule="atLeast"/>
      </w:pPr>
      <w:r w:rsidRPr="00AE5D8F">
        <w:lastRenderedPageBreak/>
        <w:t xml:space="preserve">In 2017, 2,225 Tasmanian secondary students aged between 12 and 17 participated in the survey. Students were asked about their current and lifetime use of tobacco, alcohol, analgesics, tranquilisers, and other substances, and their behaviour related to the use of these substances.  </w:t>
      </w:r>
      <w:r>
        <w:t>Snapshot findings:</w:t>
      </w:r>
    </w:p>
    <w:p w14:paraId="5303FD96" w14:textId="77777777" w:rsidR="007D2E3F" w:rsidRPr="00306537" w:rsidRDefault="007D2E3F" w:rsidP="00935578">
      <w:pPr>
        <w:pStyle w:val="Default"/>
        <w:numPr>
          <w:ilvl w:val="0"/>
          <w:numId w:val="55"/>
        </w:numPr>
        <w:spacing w:after="140" w:line="260" w:lineRule="atLeast"/>
        <w:ind w:left="426" w:hanging="426"/>
        <w:rPr>
          <w:sz w:val="22"/>
          <w:szCs w:val="22"/>
        </w:rPr>
      </w:pPr>
      <w:r w:rsidRPr="00306537">
        <w:rPr>
          <w:sz w:val="22"/>
          <w:szCs w:val="22"/>
        </w:rPr>
        <w:t xml:space="preserve">Across all ages the most commonly used substances were those that were legally available, even if only to adults (i.e., alcohol, and tobacco) </w:t>
      </w:r>
    </w:p>
    <w:p w14:paraId="5B2447BF" w14:textId="77777777" w:rsidR="007D2E3F" w:rsidRPr="00306537" w:rsidRDefault="007D2E3F" w:rsidP="00935578">
      <w:pPr>
        <w:pStyle w:val="Default"/>
        <w:numPr>
          <w:ilvl w:val="0"/>
          <w:numId w:val="56"/>
        </w:numPr>
        <w:spacing w:after="140" w:line="260" w:lineRule="atLeast"/>
        <w:ind w:left="851" w:hanging="425"/>
        <w:rPr>
          <w:sz w:val="22"/>
          <w:szCs w:val="22"/>
        </w:rPr>
      </w:pPr>
      <w:r w:rsidRPr="00306537">
        <w:rPr>
          <w:sz w:val="22"/>
          <w:szCs w:val="22"/>
        </w:rPr>
        <w:t>analgesics</w:t>
      </w:r>
      <w:r w:rsidRPr="00306537">
        <w:rPr>
          <w:rStyle w:val="FootnoteReference"/>
          <w:sz w:val="22"/>
          <w:szCs w:val="22"/>
        </w:rPr>
        <w:footnoteReference w:id="4"/>
      </w:r>
      <w:r w:rsidRPr="00306537">
        <w:rPr>
          <w:sz w:val="22"/>
          <w:szCs w:val="22"/>
        </w:rPr>
        <w:t xml:space="preserve"> were the most widely used substance </w:t>
      </w:r>
    </w:p>
    <w:p w14:paraId="19E14594" w14:textId="77777777" w:rsidR="007D2E3F" w:rsidRPr="00306537" w:rsidRDefault="007D2E3F" w:rsidP="00935578">
      <w:pPr>
        <w:pStyle w:val="Default"/>
        <w:numPr>
          <w:ilvl w:val="0"/>
          <w:numId w:val="56"/>
        </w:numPr>
        <w:spacing w:after="140" w:line="260" w:lineRule="atLeast"/>
        <w:ind w:left="851" w:hanging="425"/>
        <w:rPr>
          <w:sz w:val="22"/>
          <w:szCs w:val="22"/>
        </w:rPr>
      </w:pPr>
      <w:r w:rsidRPr="00306537">
        <w:rPr>
          <w:sz w:val="22"/>
          <w:szCs w:val="22"/>
        </w:rPr>
        <w:t xml:space="preserve">alcohol use was common at all ages, and use increased with age </w:t>
      </w:r>
    </w:p>
    <w:p w14:paraId="7236F469" w14:textId="77777777" w:rsidR="007D2E3F" w:rsidRPr="00306537" w:rsidRDefault="007D2E3F" w:rsidP="00935578">
      <w:pPr>
        <w:pStyle w:val="Default"/>
        <w:numPr>
          <w:ilvl w:val="0"/>
          <w:numId w:val="56"/>
        </w:numPr>
        <w:spacing w:after="140" w:line="260" w:lineRule="atLeast"/>
        <w:ind w:left="851" w:hanging="425"/>
        <w:rPr>
          <w:sz w:val="22"/>
          <w:szCs w:val="22"/>
        </w:rPr>
      </w:pPr>
      <w:r w:rsidRPr="00306537">
        <w:rPr>
          <w:sz w:val="22"/>
          <w:szCs w:val="22"/>
        </w:rPr>
        <w:t xml:space="preserve">smoking was the next most common use of a substance legally and was also higher with age </w:t>
      </w:r>
    </w:p>
    <w:p w14:paraId="414B6272" w14:textId="77777777" w:rsidR="007D2E3F" w:rsidRPr="00306537" w:rsidRDefault="007D2E3F" w:rsidP="00935578">
      <w:pPr>
        <w:pStyle w:val="Default"/>
        <w:numPr>
          <w:ilvl w:val="0"/>
          <w:numId w:val="55"/>
        </w:numPr>
        <w:spacing w:after="140" w:line="260" w:lineRule="atLeast"/>
        <w:ind w:left="426" w:hanging="426"/>
        <w:rPr>
          <w:sz w:val="22"/>
          <w:szCs w:val="22"/>
        </w:rPr>
      </w:pPr>
      <w:r w:rsidRPr="00306537">
        <w:rPr>
          <w:sz w:val="22"/>
          <w:szCs w:val="22"/>
        </w:rPr>
        <w:t>Use of illicit substances other than cannabis was rare among all students. Around 17</w:t>
      </w:r>
      <w:r>
        <w:rPr>
          <w:sz w:val="22"/>
          <w:szCs w:val="22"/>
        </w:rPr>
        <w:t xml:space="preserve"> per cent</w:t>
      </w:r>
      <w:r w:rsidRPr="00306537">
        <w:rPr>
          <w:sz w:val="22"/>
          <w:szCs w:val="22"/>
        </w:rPr>
        <w:t xml:space="preserve"> of students had ever used an illicit drug (including cannabis). Excluding cannabis, 6</w:t>
      </w:r>
      <w:r>
        <w:rPr>
          <w:sz w:val="22"/>
          <w:szCs w:val="22"/>
        </w:rPr>
        <w:t xml:space="preserve"> per cent</w:t>
      </w:r>
      <w:r w:rsidRPr="00306537">
        <w:rPr>
          <w:sz w:val="22"/>
          <w:szCs w:val="22"/>
        </w:rPr>
        <w:t xml:space="preserve"> of students had ever used an illicit drug. </w:t>
      </w:r>
    </w:p>
    <w:p w14:paraId="040C8476" w14:textId="77777777" w:rsidR="007D2E3F" w:rsidRPr="00306537" w:rsidRDefault="007D2E3F" w:rsidP="00935578">
      <w:pPr>
        <w:pStyle w:val="ListParagraph"/>
        <w:numPr>
          <w:ilvl w:val="0"/>
          <w:numId w:val="55"/>
        </w:numPr>
        <w:spacing w:before="0" w:after="140" w:line="260" w:lineRule="atLeast"/>
        <w:ind w:left="426" w:hanging="426"/>
        <w:rPr>
          <w:rFonts w:ascii="Gill Sans MT" w:hAnsi="Gill Sans MT"/>
          <w:sz w:val="22"/>
        </w:rPr>
      </w:pPr>
      <w:r w:rsidRPr="00306537">
        <w:rPr>
          <w:rFonts w:ascii="Gill Sans MT" w:hAnsi="Gill Sans MT"/>
          <w:sz w:val="22"/>
        </w:rPr>
        <w:t xml:space="preserve">78 per cent had never smoked. 9 per cent had smoked in the past month, down from 12 per cent in 2011. 5 per cent had smoked in the past week, down from 9 per cent in 2011.  Current smokers were 8 per cent, down from 16 per cent in 2011.  The decline in smoking in the 16-17 age group is slower, as indicated below. </w:t>
      </w:r>
    </w:p>
    <w:p w14:paraId="6F425C8F" w14:textId="77777777" w:rsidR="007D2E3F" w:rsidRDefault="007D2E3F" w:rsidP="007D2E3F">
      <w:pPr>
        <w:spacing w:line="260" w:lineRule="atLeast"/>
        <w:jc w:val="center"/>
      </w:pPr>
      <w:r>
        <w:rPr>
          <w:noProof/>
          <w:lang w:eastAsia="en-AU"/>
        </w:rPr>
        <w:drawing>
          <wp:inline distT="0" distB="0" distL="0" distR="0" wp14:anchorId="1C24DAEF" wp14:editId="56367291">
            <wp:extent cx="4104000" cy="2199736"/>
            <wp:effectExtent l="0" t="0" r="0" b="0"/>
            <wp:docPr id="1" name="Picture 1" descr="Line graph titled 'current and committed smoking' showing the decline in smoking in the 16-17 age group is s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CD1D3.tmp"/>
                    <pic:cNvPicPr/>
                  </pic:nvPicPr>
                  <pic:blipFill>
                    <a:blip r:embed="rId34">
                      <a:extLst>
                        <a:ext uri="{28A0092B-C50C-407E-A947-70E740481C1C}">
                          <a14:useLocalDpi xmlns:a14="http://schemas.microsoft.com/office/drawing/2010/main" val="0"/>
                        </a:ext>
                      </a:extLst>
                    </a:blip>
                    <a:stretch>
                      <a:fillRect/>
                    </a:stretch>
                  </pic:blipFill>
                  <pic:spPr>
                    <a:xfrm>
                      <a:off x="0" y="0"/>
                      <a:ext cx="4142296" cy="2220263"/>
                    </a:xfrm>
                    <a:prstGeom prst="rect">
                      <a:avLst/>
                    </a:prstGeom>
                  </pic:spPr>
                </pic:pic>
              </a:graphicData>
            </a:graphic>
          </wp:inline>
        </w:drawing>
      </w:r>
    </w:p>
    <w:p w14:paraId="5FE5D4E8" w14:textId="77777777" w:rsidR="007D2E3F" w:rsidRPr="00306537" w:rsidRDefault="007D2E3F" w:rsidP="00935578">
      <w:pPr>
        <w:pStyle w:val="ListParagraph"/>
        <w:numPr>
          <w:ilvl w:val="0"/>
          <w:numId w:val="53"/>
        </w:numPr>
        <w:spacing w:before="0" w:after="140" w:line="260" w:lineRule="atLeast"/>
        <w:ind w:left="425" w:hanging="425"/>
        <w:contextualSpacing w:val="0"/>
        <w:rPr>
          <w:rFonts w:ascii="Gill Sans MT" w:hAnsi="Gill Sans MT"/>
          <w:sz w:val="22"/>
        </w:rPr>
      </w:pPr>
      <w:r w:rsidRPr="00306537">
        <w:rPr>
          <w:rFonts w:ascii="Gill Sans MT" w:hAnsi="Gill Sans MT"/>
          <w:sz w:val="22"/>
        </w:rPr>
        <w:t xml:space="preserve">13 per cent had every used an electronic cigarette (vaped, used e-cigarette) and 4 per cent reported vaping in the past month. </w:t>
      </w:r>
    </w:p>
    <w:p w14:paraId="0F25A4F9" w14:textId="77777777" w:rsidR="007D2E3F" w:rsidRPr="00306537" w:rsidRDefault="007D2E3F" w:rsidP="00935578">
      <w:pPr>
        <w:pStyle w:val="ListParagraph"/>
        <w:numPr>
          <w:ilvl w:val="0"/>
          <w:numId w:val="53"/>
        </w:numPr>
        <w:spacing w:before="0" w:after="140" w:line="260" w:lineRule="atLeast"/>
        <w:ind w:left="425" w:hanging="425"/>
        <w:contextualSpacing w:val="0"/>
        <w:rPr>
          <w:rFonts w:ascii="Gill Sans MT" w:hAnsi="Gill Sans MT"/>
          <w:sz w:val="22"/>
        </w:rPr>
      </w:pPr>
      <w:bookmarkStart w:id="18" w:name="_Hlk19192419"/>
      <w:r w:rsidRPr="00306537">
        <w:rPr>
          <w:rFonts w:ascii="Gill Sans MT" w:hAnsi="Gill Sans MT"/>
          <w:sz w:val="22"/>
        </w:rPr>
        <w:t>Fewer students drank alcohol in the past month than in 2011. In the older age group (16-17) this was down from 64 to 59 per cent, and for the young group (12-15) from 29 to 20 per cent.</w:t>
      </w:r>
    </w:p>
    <w:bookmarkEnd w:id="18"/>
    <w:p w14:paraId="32368C05" w14:textId="77777777" w:rsidR="007D2E3F" w:rsidRPr="00306537" w:rsidRDefault="007D2E3F" w:rsidP="00935578">
      <w:pPr>
        <w:pStyle w:val="ListParagraph"/>
        <w:numPr>
          <w:ilvl w:val="0"/>
          <w:numId w:val="53"/>
        </w:numPr>
        <w:spacing w:before="0" w:after="140" w:line="260" w:lineRule="atLeast"/>
        <w:ind w:left="425" w:hanging="425"/>
        <w:contextualSpacing w:val="0"/>
        <w:rPr>
          <w:rFonts w:ascii="Gill Sans MT" w:hAnsi="Gill Sans MT"/>
          <w:sz w:val="22"/>
        </w:rPr>
      </w:pPr>
      <w:r w:rsidRPr="00306537">
        <w:rPr>
          <w:rFonts w:ascii="Gill Sans MT" w:hAnsi="Gill Sans MT"/>
          <w:sz w:val="22"/>
        </w:rPr>
        <w:t>74 per cent had ever drank alcohol; 1 in 6 drank at risky levels</w:t>
      </w:r>
      <w:r>
        <w:rPr>
          <w:rStyle w:val="FootnoteReference"/>
          <w:sz w:val="22"/>
        </w:rPr>
        <w:footnoteReference w:id="5"/>
      </w:r>
      <w:r w:rsidRPr="00306537">
        <w:rPr>
          <w:rFonts w:ascii="Gill Sans MT" w:hAnsi="Gill Sans MT"/>
          <w:sz w:val="22"/>
        </w:rPr>
        <w:t>; and around 1 in 5 had drank in the past week.  57 per cent obtained their alcohol from parents.  Premixed spirits were the type of alcohol most often drank (57 per cent).</w:t>
      </w:r>
    </w:p>
    <w:p w14:paraId="71A6720E" w14:textId="77777777" w:rsidR="007D2E3F" w:rsidRPr="005A0CA1" w:rsidRDefault="007D2E3F" w:rsidP="00935578">
      <w:pPr>
        <w:spacing w:line="260" w:lineRule="atLeast"/>
        <w:jc w:val="center"/>
      </w:pPr>
      <w:r>
        <w:rPr>
          <w:noProof/>
          <w:lang w:eastAsia="en-AU"/>
        </w:rPr>
        <w:lastRenderedPageBreak/>
        <w:drawing>
          <wp:inline distT="0" distB="0" distL="0" distR="0" wp14:anchorId="271F8C62" wp14:editId="12794EE4">
            <wp:extent cx="4079444" cy="2294627"/>
            <wp:effectExtent l="0" t="0" r="0" b="0"/>
            <wp:docPr id="2" name="Picture 2" descr="Line graph titled 'Current and risky drinking' information is included in bullet poin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8B214.tmp"/>
                    <pic:cNvPicPr/>
                  </pic:nvPicPr>
                  <pic:blipFill>
                    <a:blip r:embed="rId35">
                      <a:extLst>
                        <a:ext uri="{28A0092B-C50C-407E-A947-70E740481C1C}">
                          <a14:useLocalDpi xmlns:a14="http://schemas.microsoft.com/office/drawing/2010/main" val="0"/>
                        </a:ext>
                      </a:extLst>
                    </a:blip>
                    <a:stretch>
                      <a:fillRect/>
                    </a:stretch>
                  </pic:blipFill>
                  <pic:spPr>
                    <a:xfrm>
                      <a:off x="0" y="0"/>
                      <a:ext cx="4122131" cy="2318638"/>
                    </a:xfrm>
                    <a:prstGeom prst="rect">
                      <a:avLst/>
                    </a:prstGeom>
                  </pic:spPr>
                </pic:pic>
              </a:graphicData>
            </a:graphic>
          </wp:inline>
        </w:drawing>
      </w:r>
    </w:p>
    <w:p w14:paraId="197285EA" w14:textId="77777777" w:rsidR="007D2E3F" w:rsidRPr="00306537" w:rsidRDefault="007D2E3F" w:rsidP="00935578">
      <w:pPr>
        <w:pStyle w:val="ListParagraph"/>
        <w:numPr>
          <w:ilvl w:val="0"/>
          <w:numId w:val="57"/>
        </w:numPr>
        <w:spacing w:before="0" w:after="140" w:line="260" w:lineRule="atLeast"/>
        <w:ind w:left="426" w:hanging="426"/>
        <w:contextualSpacing w:val="0"/>
        <w:rPr>
          <w:rFonts w:ascii="Gill Sans MT" w:hAnsi="Gill Sans MT"/>
          <w:sz w:val="22"/>
        </w:rPr>
      </w:pPr>
      <w:r w:rsidRPr="00306537">
        <w:rPr>
          <w:rFonts w:ascii="Gill Sans MT" w:hAnsi="Gill Sans MT"/>
          <w:sz w:val="22"/>
        </w:rPr>
        <w:t>Drinking with the intention to get drunk was slightly more common at older ages (16-17), with 37 per cent intending to get drunk most times they drank, compared to 21 per cent of the younger current drinkers (12-15).  Older students were more likely to experience at least one negative outcome, and female students were more likely to experience at least one negative outcomes:</w:t>
      </w:r>
    </w:p>
    <w:p w14:paraId="59881B2D" w14:textId="77777777" w:rsidR="007D2E3F" w:rsidRPr="00306537" w:rsidRDefault="007D2E3F" w:rsidP="00935578">
      <w:pPr>
        <w:pStyle w:val="ListParagraph"/>
        <w:numPr>
          <w:ilvl w:val="0"/>
          <w:numId w:val="60"/>
        </w:numPr>
        <w:spacing w:before="0" w:after="140" w:line="260" w:lineRule="atLeast"/>
        <w:ind w:left="851" w:hanging="425"/>
        <w:contextualSpacing w:val="0"/>
        <w:rPr>
          <w:rFonts w:ascii="Gill Sans MT" w:hAnsi="Gill Sans MT"/>
          <w:sz w:val="22"/>
        </w:rPr>
      </w:pPr>
      <w:r w:rsidRPr="00306537">
        <w:rPr>
          <w:rFonts w:ascii="Gill Sans MT" w:hAnsi="Gill Sans MT"/>
          <w:sz w:val="22"/>
        </w:rPr>
        <w:t>42 per cent had vomited</w:t>
      </w:r>
    </w:p>
    <w:p w14:paraId="55877DE4" w14:textId="77777777" w:rsidR="007D2E3F" w:rsidRPr="00306537" w:rsidRDefault="007D2E3F" w:rsidP="00935578">
      <w:pPr>
        <w:pStyle w:val="ListParagraph"/>
        <w:numPr>
          <w:ilvl w:val="0"/>
          <w:numId w:val="60"/>
        </w:numPr>
        <w:spacing w:before="0" w:after="140" w:line="260" w:lineRule="atLeast"/>
        <w:ind w:left="851" w:hanging="425"/>
        <w:contextualSpacing w:val="0"/>
        <w:rPr>
          <w:rFonts w:ascii="Gill Sans MT" w:hAnsi="Gill Sans MT"/>
          <w:sz w:val="22"/>
        </w:rPr>
      </w:pPr>
      <w:r w:rsidRPr="00306537">
        <w:rPr>
          <w:rFonts w:ascii="Gill Sans MT" w:hAnsi="Gill Sans MT"/>
          <w:sz w:val="22"/>
        </w:rPr>
        <w:t>1 in 5 had an argument, with this more likely among female students</w:t>
      </w:r>
    </w:p>
    <w:p w14:paraId="49F566EC" w14:textId="77777777" w:rsidR="007D2E3F" w:rsidRPr="00306537" w:rsidRDefault="007D2E3F" w:rsidP="00935578">
      <w:pPr>
        <w:pStyle w:val="ListParagraph"/>
        <w:numPr>
          <w:ilvl w:val="0"/>
          <w:numId w:val="60"/>
        </w:numPr>
        <w:spacing w:before="0" w:after="140" w:line="260" w:lineRule="atLeast"/>
        <w:ind w:left="851" w:hanging="425"/>
        <w:contextualSpacing w:val="0"/>
        <w:rPr>
          <w:rFonts w:ascii="Gill Sans MT" w:hAnsi="Gill Sans MT"/>
          <w:sz w:val="22"/>
        </w:rPr>
      </w:pPr>
      <w:r w:rsidRPr="00306537">
        <w:rPr>
          <w:rFonts w:ascii="Gill Sans MT" w:hAnsi="Gill Sans MT"/>
          <w:sz w:val="22"/>
        </w:rPr>
        <w:t>Around 1 in 10 verbally abused someone after drinking alcohol</w:t>
      </w:r>
    </w:p>
    <w:p w14:paraId="667A566E" w14:textId="77777777" w:rsidR="007D2E3F" w:rsidRPr="00306537" w:rsidRDefault="007D2E3F" w:rsidP="00935578">
      <w:pPr>
        <w:pStyle w:val="ListParagraph"/>
        <w:numPr>
          <w:ilvl w:val="0"/>
          <w:numId w:val="58"/>
        </w:numPr>
        <w:spacing w:before="0" w:after="140" w:line="260" w:lineRule="atLeast"/>
        <w:ind w:left="426" w:hanging="426"/>
        <w:contextualSpacing w:val="0"/>
        <w:rPr>
          <w:rFonts w:ascii="Gill Sans MT" w:hAnsi="Gill Sans MT"/>
          <w:sz w:val="22"/>
        </w:rPr>
      </w:pPr>
      <w:r w:rsidRPr="00306537">
        <w:rPr>
          <w:rFonts w:ascii="Gill Sans MT" w:hAnsi="Gill Sans MT"/>
          <w:sz w:val="22"/>
        </w:rPr>
        <w:t xml:space="preserve">There were few changes in use of </w:t>
      </w:r>
      <w:proofErr w:type="gramStart"/>
      <w:r w:rsidRPr="00306537">
        <w:rPr>
          <w:rFonts w:ascii="Gill Sans MT" w:hAnsi="Gill Sans MT"/>
          <w:sz w:val="22"/>
        </w:rPr>
        <w:t>over-the-counter</w:t>
      </w:r>
      <w:proofErr w:type="gramEnd"/>
      <w:r w:rsidRPr="00306537">
        <w:rPr>
          <w:rFonts w:ascii="Gill Sans MT" w:hAnsi="Gill Sans MT"/>
          <w:sz w:val="22"/>
        </w:rPr>
        <w:t xml:space="preserve"> or illicit drugs:</w:t>
      </w:r>
    </w:p>
    <w:p w14:paraId="7E52ACF9" w14:textId="77777777" w:rsidR="007D2E3F" w:rsidRPr="00306537" w:rsidRDefault="007D2E3F" w:rsidP="00935578">
      <w:pPr>
        <w:pStyle w:val="ListParagraph"/>
        <w:numPr>
          <w:ilvl w:val="0"/>
          <w:numId w:val="59"/>
        </w:numPr>
        <w:spacing w:before="0" w:after="140" w:line="260" w:lineRule="atLeast"/>
        <w:ind w:left="851" w:hanging="425"/>
        <w:contextualSpacing w:val="0"/>
        <w:rPr>
          <w:rFonts w:ascii="Gill Sans MT" w:hAnsi="Gill Sans MT"/>
          <w:sz w:val="22"/>
        </w:rPr>
      </w:pPr>
      <w:r w:rsidRPr="00306537">
        <w:rPr>
          <w:rFonts w:ascii="Gill Sans MT" w:hAnsi="Gill Sans MT"/>
          <w:sz w:val="22"/>
        </w:rPr>
        <w:t xml:space="preserve">Around 94 per cent had ever used an analgesic, mainly for headache or migraine pain, </w:t>
      </w:r>
      <w:proofErr w:type="gramStart"/>
      <w:r w:rsidRPr="00306537">
        <w:rPr>
          <w:rFonts w:ascii="Gill Sans MT" w:hAnsi="Gill Sans MT"/>
          <w:sz w:val="22"/>
        </w:rPr>
        <w:t>similar to</w:t>
      </w:r>
      <w:proofErr w:type="gramEnd"/>
      <w:r w:rsidRPr="00306537">
        <w:rPr>
          <w:rFonts w:ascii="Gill Sans MT" w:hAnsi="Gill Sans MT"/>
          <w:sz w:val="22"/>
        </w:rPr>
        <w:t xml:space="preserve"> 2011 and 2014.</w:t>
      </w:r>
    </w:p>
    <w:p w14:paraId="44C2C5B1" w14:textId="77777777" w:rsidR="007D2E3F" w:rsidRPr="00306537" w:rsidRDefault="007D2E3F" w:rsidP="00935578">
      <w:pPr>
        <w:pStyle w:val="ListParagraph"/>
        <w:numPr>
          <w:ilvl w:val="0"/>
          <w:numId w:val="59"/>
        </w:numPr>
        <w:spacing w:before="0" w:after="140" w:line="260" w:lineRule="atLeast"/>
        <w:ind w:left="851" w:hanging="425"/>
        <w:contextualSpacing w:val="0"/>
        <w:rPr>
          <w:rFonts w:ascii="Gill Sans MT" w:hAnsi="Gill Sans MT"/>
          <w:sz w:val="22"/>
        </w:rPr>
      </w:pPr>
      <w:r w:rsidRPr="00306537">
        <w:rPr>
          <w:rFonts w:ascii="Gill Sans MT" w:hAnsi="Gill Sans MT"/>
          <w:sz w:val="22"/>
        </w:rPr>
        <w:t xml:space="preserve">Around 1 in 5 had ever used a </w:t>
      </w:r>
      <w:proofErr w:type="spellStart"/>
      <w:r w:rsidRPr="00306537">
        <w:rPr>
          <w:rFonts w:ascii="Gill Sans MT" w:hAnsi="Gill Sans MT"/>
          <w:sz w:val="22"/>
        </w:rPr>
        <w:t>tranquiliser</w:t>
      </w:r>
      <w:proofErr w:type="spellEnd"/>
      <w:r>
        <w:rPr>
          <w:rStyle w:val="FootnoteReference"/>
          <w:sz w:val="22"/>
        </w:rPr>
        <w:footnoteReference w:id="6"/>
      </w:r>
      <w:r w:rsidRPr="00306537">
        <w:rPr>
          <w:rFonts w:ascii="Gill Sans MT" w:hAnsi="Gill Sans MT"/>
          <w:sz w:val="22"/>
        </w:rPr>
        <w:t xml:space="preserve"> for non-medical reasons, again </w:t>
      </w:r>
      <w:proofErr w:type="gramStart"/>
      <w:r w:rsidRPr="00306537">
        <w:rPr>
          <w:rFonts w:ascii="Gill Sans MT" w:hAnsi="Gill Sans MT"/>
          <w:sz w:val="22"/>
        </w:rPr>
        <w:t>similar to</w:t>
      </w:r>
      <w:proofErr w:type="gramEnd"/>
      <w:r w:rsidRPr="00306537">
        <w:rPr>
          <w:rFonts w:ascii="Gill Sans MT" w:hAnsi="Gill Sans MT"/>
          <w:sz w:val="22"/>
        </w:rPr>
        <w:t xml:space="preserve"> 2011 and 2014.</w:t>
      </w:r>
    </w:p>
    <w:p w14:paraId="7F26ED3D" w14:textId="77777777" w:rsidR="007D2E3F" w:rsidRPr="00306537" w:rsidRDefault="007D2E3F" w:rsidP="00935578">
      <w:pPr>
        <w:pStyle w:val="ListParagraph"/>
        <w:numPr>
          <w:ilvl w:val="0"/>
          <w:numId w:val="59"/>
        </w:numPr>
        <w:spacing w:before="0" w:after="140" w:line="260" w:lineRule="atLeast"/>
        <w:ind w:left="851" w:hanging="425"/>
        <w:contextualSpacing w:val="0"/>
        <w:rPr>
          <w:rFonts w:ascii="Gill Sans MT" w:hAnsi="Gill Sans MT"/>
          <w:sz w:val="22"/>
        </w:rPr>
      </w:pPr>
      <w:r w:rsidRPr="00306537">
        <w:rPr>
          <w:rFonts w:ascii="Gill Sans MT" w:hAnsi="Gill Sans MT"/>
          <w:sz w:val="22"/>
        </w:rPr>
        <w:t xml:space="preserve">19 per cent had ever used cannabis with 5 per cent using in the past week, again </w:t>
      </w:r>
      <w:proofErr w:type="gramStart"/>
      <w:r w:rsidRPr="00306537">
        <w:rPr>
          <w:rFonts w:ascii="Gill Sans MT" w:hAnsi="Gill Sans MT"/>
          <w:sz w:val="22"/>
        </w:rPr>
        <w:t>similar to</w:t>
      </w:r>
      <w:proofErr w:type="gramEnd"/>
      <w:r w:rsidRPr="00306537">
        <w:rPr>
          <w:rFonts w:ascii="Gill Sans MT" w:hAnsi="Gill Sans MT"/>
          <w:sz w:val="22"/>
        </w:rPr>
        <w:t xml:space="preserve"> 2011 and 2014. This is slightly higher than the general population as reported in the National Drug Strategy Household Survey.</w:t>
      </w:r>
    </w:p>
    <w:p w14:paraId="13684A7A" w14:textId="77777777" w:rsidR="007D2E3F" w:rsidRPr="00306537" w:rsidRDefault="007D2E3F" w:rsidP="00935578">
      <w:pPr>
        <w:pStyle w:val="ListParagraph"/>
        <w:numPr>
          <w:ilvl w:val="0"/>
          <w:numId w:val="59"/>
        </w:numPr>
        <w:spacing w:before="0" w:after="140" w:line="260" w:lineRule="atLeast"/>
        <w:ind w:left="851" w:hanging="425"/>
        <w:contextualSpacing w:val="0"/>
        <w:rPr>
          <w:rFonts w:ascii="Gill Sans MT" w:hAnsi="Gill Sans MT"/>
          <w:sz w:val="22"/>
        </w:rPr>
      </w:pPr>
      <w:r w:rsidRPr="00306537">
        <w:rPr>
          <w:rFonts w:ascii="Gill Sans MT" w:hAnsi="Gill Sans MT"/>
          <w:sz w:val="22"/>
        </w:rPr>
        <w:t xml:space="preserve">Use of MDMA (ecstasy) in 2017 at 4 per cent was also </w:t>
      </w:r>
      <w:proofErr w:type="gramStart"/>
      <w:r w:rsidRPr="00306537">
        <w:rPr>
          <w:rFonts w:ascii="Gill Sans MT" w:hAnsi="Gill Sans MT"/>
          <w:sz w:val="22"/>
        </w:rPr>
        <w:t>similar to</w:t>
      </w:r>
      <w:proofErr w:type="gramEnd"/>
      <w:r w:rsidRPr="00306537">
        <w:rPr>
          <w:rFonts w:ascii="Gill Sans MT" w:hAnsi="Gill Sans MT"/>
          <w:sz w:val="22"/>
        </w:rPr>
        <w:t xml:space="preserve"> 2011 and 2014.</w:t>
      </w:r>
    </w:p>
    <w:p w14:paraId="22FDF3FA" w14:textId="77777777" w:rsidR="007D2E3F" w:rsidRPr="00306537" w:rsidRDefault="007D2E3F" w:rsidP="00935578">
      <w:pPr>
        <w:pStyle w:val="ListParagraph"/>
        <w:numPr>
          <w:ilvl w:val="0"/>
          <w:numId w:val="59"/>
        </w:numPr>
        <w:spacing w:before="0" w:after="140" w:line="260" w:lineRule="atLeast"/>
        <w:ind w:left="851" w:hanging="425"/>
        <w:contextualSpacing w:val="0"/>
        <w:rPr>
          <w:rFonts w:ascii="Gill Sans MT" w:hAnsi="Gill Sans MT"/>
          <w:sz w:val="22"/>
        </w:rPr>
      </w:pPr>
      <w:r w:rsidRPr="00306537">
        <w:rPr>
          <w:rFonts w:ascii="Gill Sans MT" w:hAnsi="Gill Sans MT"/>
          <w:sz w:val="22"/>
        </w:rPr>
        <w:t>18 per cent had ever deliberately sniffed inhalants</w:t>
      </w:r>
      <w:r>
        <w:rPr>
          <w:rStyle w:val="FootnoteReference"/>
          <w:sz w:val="22"/>
        </w:rPr>
        <w:footnoteReference w:id="7"/>
      </w:r>
      <w:r w:rsidRPr="00306537">
        <w:rPr>
          <w:rFonts w:ascii="Gill Sans MT" w:hAnsi="Gill Sans MT"/>
          <w:sz w:val="22"/>
        </w:rPr>
        <w:t xml:space="preserve">, with most recent use peaking among </w:t>
      </w:r>
      <w:proofErr w:type="gramStart"/>
      <w:r w:rsidRPr="00306537">
        <w:rPr>
          <w:rFonts w:ascii="Gill Sans MT" w:hAnsi="Gill Sans MT"/>
          <w:sz w:val="22"/>
        </w:rPr>
        <w:t>14 year</w:t>
      </w:r>
      <w:proofErr w:type="gramEnd"/>
      <w:r w:rsidRPr="00306537">
        <w:rPr>
          <w:rFonts w:ascii="Gill Sans MT" w:hAnsi="Gill Sans MT"/>
          <w:sz w:val="22"/>
        </w:rPr>
        <w:t xml:space="preserve"> old’s. </w:t>
      </w:r>
      <w:proofErr w:type="gramStart"/>
      <w:r w:rsidRPr="00306537">
        <w:rPr>
          <w:rFonts w:ascii="Gill Sans MT" w:hAnsi="Gill Sans MT"/>
          <w:sz w:val="22"/>
        </w:rPr>
        <w:t>Again</w:t>
      </w:r>
      <w:proofErr w:type="gramEnd"/>
      <w:r w:rsidRPr="00306537">
        <w:rPr>
          <w:rFonts w:ascii="Gill Sans MT" w:hAnsi="Gill Sans MT"/>
          <w:sz w:val="22"/>
        </w:rPr>
        <w:t xml:space="preserve"> there was no significant changes from 2011 or 2014.</w:t>
      </w:r>
    </w:p>
    <w:p w14:paraId="03858681" w14:textId="77777777" w:rsidR="007D2E3F" w:rsidRDefault="007D2E3F" w:rsidP="00935578">
      <w:pPr>
        <w:pStyle w:val="ListParagraph"/>
        <w:numPr>
          <w:ilvl w:val="0"/>
          <w:numId w:val="59"/>
        </w:numPr>
        <w:spacing w:before="0" w:after="140" w:line="260" w:lineRule="atLeast"/>
        <w:ind w:left="851" w:hanging="425"/>
        <w:contextualSpacing w:val="0"/>
        <w:rPr>
          <w:rFonts w:ascii="Gill Sans MT" w:hAnsi="Gill Sans MT"/>
          <w:sz w:val="22"/>
        </w:rPr>
      </w:pPr>
      <w:r w:rsidRPr="00306537">
        <w:rPr>
          <w:rFonts w:ascii="Gill Sans MT" w:hAnsi="Gill Sans MT"/>
          <w:sz w:val="22"/>
        </w:rPr>
        <w:t xml:space="preserve">Use of methamphetamine and dexamphetamine were considered separately for the first time in 2017, so comparisons or trends cannot be made.  Most students (99 per cent) had never tried either. </w:t>
      </w:r>
    </w:p>
    <w:p w14:paraId="3485BDAF" w14:textId="5E6B2CB4" w:rsidR="007D2E3F" w:rsidRPr="004C744B" w:rsidRDefault="007D2E3F" w:rsidP="007D2E3F">
      <w:pPr>
        <w:shd w:val="clear" w:color="auto" w:fill="FFFFFF"/>
        <w:spacing w:line="260" w:lineRule="atLeast"/>
        <w:rPr>
          <w:sz w:val="24"/>
          <w:szCs w:val="24"/>
        </w:rPr>
      </w:pPr>
      <w:r w:rsidRPr="004C744B">
        <w:rPr>
          <w:rStyle w:val="Heading3Char"/>
          <w:sz w:val="24"/>
          <w:szCs w:val="24"/>
        </w:rPr>
        <w:t>The Council of Obstetric and Paediatric Mortality and Morbidity (Department of Health 2018) Annual Report 2016</w:t>
      </w:r>
      <w:r w:rsidRPr="004C744B">
        <w:rPr>
          <w:sz w:val="24"/>
          <w:szCs w:val="24"/>
        </w:rPr>
        <w:t xml:space="preserve"> </w:t>
      </w:r>
    </w:p>
    <w:p w14:paraId="09CAAC9B" w14:textId="77777777" w:rsidR="007D2E3F" w:rsidRPr="00902F7B" w:rsidRDefault="007D2E3F" w:rsidP="00DD5945">
      <w:pPr>
        <w:pStyle w:val="ListParagraph"/>
        <w:numPr>
          <w:ilvl w:val="0"/>
          <w:numId w:val="63"/>
        </w:numPr>
        <w:autoSpaceDE w:val="0"/>
        <w:autoSpaceDN w:val="0"/>
        <w:adjustRightInd w:val="0"/>
        <w:spacing w:before="0" w:after="140" w:line="260" w:lineRule="atLeast"/>
        <w:ind w:left="426" w:hanging="426"/>
        <w:contextualSpacing w:val="0"/>
        <w:rPr>
          <w:rFonts w:ascii="Gill Sans MT" w:hAnsi="Gill Sans MT" w:cs="Calibri"/>
          <w:color w:val="000000"/>
          <w:sz w:val="22"/>
        </w:rPr>
      </w:pPr>
      <w:r>
        <w:rPr>
          <w:rFonts w:ascii="Gill Sans MT" w:hAnsi="Gill Sans MT" w:cs="Calibri"/>
          <w:color w:val="000000"/>
          <w:sz w:val="22"/>
        </w:rPr>
        <w:t>The proportion of Tasmanian women who smoked whi</w:t>
      </w:r>
      <w:r w:rsidRPr="00902F7B">
        <w:rPr>
          <w:rFonts w:ascii="Gill Sans MT" w:hAnsi="Gill Sans MT" w:cs="Calibri"/>
          <w:color w:val="000000"/>
          <w:sz w:val="22"/>
        </w:rPr>
        <w:t xml:space="preserve">le pregnant was reported by 12.8 per cent of all mothers and 34.7 per cent of teenage mothers. </w:t>
      </w:r>
    </w:p>
    <w:p w14:paraId="3F4C7B78" w14:textId="77777777" w:rsidR="007D2E3F" w:rsidRDefault="007D2E3F" w:rsidP="00935578">
      <w:pPr>
        <w:pStyle w:val="ListParagraph"/>
        <w:numPr>
          <w:ilvl w:val="0"/>
          <w:numId w:val="63"/>
        </w:numPr>
        <w:autoSpaceDE w:val="0"/>
        <w:autoSpaceDN w:val="0"/>
        <w:adjustRightInd w:val="0"/>
        <w:spacing w:before="0" w:after="140" w:line="260" w:lineRule="atLeast"/>
        <w:ind w:left="425" w:hanging="425"/>
        <w:contextualSpacing w:val="0"/>
        <w:rPr>
          <w:rFonts w:ascii="Gill Sans MT" w:hAnsi="Gill Sans MT" w:cs="Calibri"/>
          <w:color w:val="000000"/>
          <w:sz w:val="22"/>
        </w:rPr>
      </w:pPr>
      <w:r w:rsidRPr="00902F7B">
        <w:rPr>
          <w:rFonts w:ascii="Gill Sans MT" w:hAnsi="Gill Sans MT" w:cs="Calibri"/>
          <w:color w:val="000000"/>
          <w:sz w:val="22"/>
        </w:rPr>
        <w:t xml:space="preserve">1.4 per cent of women who reported smoking during the first 20 weeks of pregnancy did not report smoking during the last 20 weeks. </w:t>
      </w:r>
    </w:p>
    <w:p w14:paraId="7429772B" w14:textId="77777777" w:rsidR="007D2E3F" w:rsidRPr="00E81805" w:rsidRDefault="007D2E3F" w:rsidP="007D2E3F">
      <w:pPr>
        <w:pStyle w:val="ListParagraph"/>
        <w:autoSpaceDE w:val="0"/>
        <w:autoSpaceDN w:val="0"/>
        <w:adjustRightInd w:val="0"/>
        <w:spacing w:before="0" w:after="140" w:line="260" w:lineRule="atLeast"/>
        <w:ind w:left="426"/>
        <w:contextualSpacing w:val="0"/>
        <w:rPr>
          <w:rFonts w:ascii="Gill Sans MT" w:hAnsi="Gill Sans MT" w:cs="Calibri"/>
          <w:color w:val="000000"/>
          <w:sz w:val="20"/>
          <w:szCs w:val="20"/>
        </w:rPr>
      </w:pPr>
      <w:r w:rsidRPr="00E81805">
        <w:rPr>
          <w:rFonts w:ascii="Gill Sans MT" w:hAnsi="Gill Sans MT" w:cs="Calibri"/>
          <w:color w:val="000000"/>
          <w:sz w:val="20"/>
          <w:szCs w:val="20"/>
        </w:rPr>
        <w:lastRenderedPageBreak/>
        <w:t>Proportion of smoking in Tasmania by maternal age and election status 1982 and 2012-2016</w:t>
      </w:r>
    </w:p>
    <w:p w14:paraId="75CD9EE2" w14:textId="77777777" w:rsidR="007D2E3F" w:rsidRPr="00E81805" w:rsidRDefault="007D2E3F" w:rsidP="007D2E3F">
      <w:pPr>
        <w:autoSpaceDE w:val="0"/>
        <w:autoSpaceDN w:val="0"/>
        <w:adjustRightInd w:val="0"/>
        <w:spacing w:line="260" w:lineRule="atLeast"/>
        <w:jc w:val="center"/>
        <w:rPr>
          <w:rFonts w:cs="Calibri"/>
          <w:color w:val="000000"/>
        </w:rPr>
      </w:pPr>
      <w:r>
        <w:rPr>
          <w:rFonts w:cs="Calibri"/>
          <w:noProof/>
          <w:color w:val="000000"/>
          <w:lang w:eastAsia="en-AU"/>
        </w:rPr>
        <w:drawing>
          <wp:inline distT="0" distB="0" distL="0" distR="0" wp14:anchorId="7D149A12" wp14:editId="03B5E038">
            <wp:extent cx="4485736" cy="1908524"/>
            <wp:effectExtent l="0" t="0" r="0" b="0"/>
            <wp:docPr id="3" name="Picture 3" descr="Table showing the proportion of smoking in Tasmania by maternal age and election status 1982 and 2012-2016 showing an overall reduction from 16.3 in 1982 to 12.8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E4A307.tmp"/>
                    <pic:cNvPicPr/>
                  </pic:nvPicPr>
                  <pic:blipFill rotWithShape="1">
                    <a:blip r:embed="rId36">
                      <a:extLst>
                        <a:ext uri="{28A0092B-C50C-407E-A947-70E740481C1C}">
                          <a14:useLocalDpi xmlns:a14="http://schemas.microsoft.com/office/drawing/2010/main" val="0"/>
                        </a:ext>
                      </a:extLst>
                    </a:blip>
                    <a:srcRect l="20450" t="30949" r="19672" b="36034"/>
                    <a:stretch/>
                  </pic:blipFill>
                  <pic:spPr bwMode="auto">
                    <a:xfrm>
                      <a:off x="0" y="0"/>
                      <a:ext cx="4548201" cy="1935101"/>
                    </a:xfrm>
                    <a:prstGeom prst="rect">
                      <a:avLst/>
                    </a:prstGeom>
                    <a:ln>
                      <a:noFill/>
                    </a:ln>
                    <a:extLst>
                      <a:ext uri="{53640926-AAD7-44D8-BBD7-CCE9431645EC}">
                        <a14:shadowObscured xmlns:a14="http://schemas.microsoft.com/office/drawing/2010/main"/>
                      </a:ext>
                    </a:extLst>
                  </pic:spPr>
                </pic:pic>
              </a:graphicData>
            </a:graphic>
          </wp:inline>
        </w:drawing>
      </w:r>
    </w:p>
    <w:p w14:paraId="6C554474" w14:textId="77777777" w:rsidR="007D2E3F" w:rsidRDefault="007D2E3F" w:rsidP="00935578">
      <w:pPr>
        <w:pStyle w:val="ListParagraph"/>
        <w:numPr>
          <w:ilvl w:val="0"/>
          <w:numId w:val="63"/>
        </w:numPr>
        <w:autoSpaceDE w:val="0"/>
        <w:autoSpaceDN w:val="0"/>
        <w:adjustRightInd w:val="0"/>
        <w:spacing w:before="0" w:after="140" w:line="260" w:lineRule="atLeast"/>
        <w:ind w:left="425" w:hanging="426"/>
        <w:contextualSpacing w:val="0"/>
        <w:rPr>
          <w:rFonts w:ascii="Gill Sans MT" w:hAnsi="Gill Sans MT" w:cs="Calibri"/>
          <w:color w:val="000000"/>
          <w:sz w:val="22"/>
        </w:rPr>
      </w:pPr>
      <w:r w:rsidRPr="00902F7B">
        <w:rPr>
          <w:rFonts w:ascii="Gill Sans MT" w:hAnsi="Gill Sans MT" w:cs="Calibri"/>
          <w:color w:val="000000"/>
          <w:sz w:val="22"/>
        </w:rPr>
        <w:t>4.0 per cent of mothers reported that they had consumed alcohol</w:t>
      </w:r>
      <w:r>
        <w:rPr>
          <w:rStyle w:val="FootnoteReference"/>
          <w:rFonts w:cs="Calibri"/>
          <w:color w:val="000000"/>
          <w:sz w:val="22"/>
        </w:rPr>
        <w:footnoteReference w:id="8"/>
      </w:r>
      <w:r w:rsidRPr="00902F7B">
        <w:rPr>
          <w:rFonts w:ascii="Gill Sans MT" w:hAnsi="Gill Sans MT" w:cs="Calibri"/>
          <w:color w:val="000000"/>
          <w:sz w:val="22"/>
        </w:rPr>
        <w:t xml:space="preserve"> during pregnancy, almost half the rate for 2015 (7.6 per cent), with the rate being the greatest for older mothers aged 40 years and over (7.0 per cent), </w:t>
      </w:r>
      <w:proofErr w:type="gramStart"/>
      <w:r w:rsidRPr="00902F7B">
        <w:rPr>
          <w:rFonts w:ascii="Gill Sans MT" w:hAnsi="Gill Sans MT" w:cs="Calibri"/>
          <w:color w:val="000000"/>
          <w:sz w:val="22"/>
        </w:rPr>
        <w:t>similar to</w:t>
      </w:r>
      <w:proofErr w:type="gramEnd"/>
      <w:r w:rsidRPr="00902F7B">
        <w:rPr>
          <w:rFonts w:ascii="Gill Sans MT" w:hAnsi="Gill Sans MT" w:cs="Calibri"/>
          <w:color w:val="000000"/>
          <w:sz w:val="22"/>
        </w:rPr>
        <w:t xml:space="preserve"> previous years. </w:t>
      </w:r>
    </w:p>
    <w:p w14:paraId="1E2FF5D4" w14:textId="77777777" w:rsidR="007D2E3F" w:rsidRDefault="007D2E3F" w:rsidP="00935578">
      <w:pPr>
        <w:pStyle w:val="ListParagraph"/>
        <w:numPr>
          <w:ilvl w:val="0"/>
          <w:numId w:val="63"/>
        </w:numPr>
        <w:autoSpaceDE w:val="0"/>
        <w:autoSpaceDN w:val="0"/>
        <w:adjustRightInd w:val="0"/>
        <w:spacing w:before="0" w:after="140" w:line="260" w:lineRule="atLeast"/>
        <w:ind w:left="425" w:hanging="426"/>
        <w:contextualSpacing w:val="0"/>
        <w:rPr>
          <w:rFonts w:ascii="Gill Sans MT" w:hAnsi="Gill Sans MT" w:cs="Calibri"/>
          <w:color w:val="000000"/>
          <w:sz w:val="22"/>
        </w:rPr>
      </w:pPr>
      <w:r w:rsidRPr="00902F7B">
        <w:rPr>
          <w:rFonts w:ascii="Gill Sans MT" w:hAnsi="Gill Sans MT" w:cs="Calibri"/>
          <w:color w:val="000000"/>
          <w:sz w:val="22"/>
        </w:rPr>
        <w:t xml:space="preserve">Of </w:t>
      </w:r>
      <w:proofErr w:type="gramStart"/>
      <w:r w:rsidRPr="00902F7B">
        <w:rPr>
          <w:rFonts w:ascii="Gill Sans MT" w:hAnsi="Gill Sans MT" w:cs="Calibri"/>
          <w:color w:val="000000"/>
          <w:sz w:val="22"/>
        </w:rPr>
        <w:t>particular note</w:t>
      </w:r>
      <w:proofErr w:type="gramEnd"/>
      <w:r w:rsidRPr="00902F7B">
        <w:rPr>
          <w:rFonts w:ascii="Gill Sans MT" w:hAnsi="Gill Sans MT" w:cs="Calibri"/>
          <w:color w:val="000000"/>
          <w:sz w:val="22"/>
        </w:rPr>
        <w:t xml:space="preserve"> is the significant reduction in maternal alcohol consumption amongst women aged 35-39 years, with the rate halving from 10.0 per cent in 2015 to 5.0 percent in 2016</w:t>
      </w:r>
      <w:r>
        <w:rPr>
          <w:rFonts w:ascii="Gill Sans MT" w:hAnsi="Gill Sans MT" w:cs="Calibri"/>
          <w:color w:val="000000"/>
          <w:sz w:val="22"/>
        </w:rPr>
        <w:t>.</w:t>
      </w:r>
    </w:p>
    <w:p w14:paraId="30F677D8" w14:textId="77777777" w:rsidR="007D2E3F" w:rsidRPr="00E81805" w:rsidRDefault="007D2E3F" w:rsidP="00935578">
      <w:pPr>
        <w:spacing w:line="260" w:lineRule="atLeast"/>
        <w:ind w:left="425"/>
        <w:rPr>
          <w:sz w:val="20"/>
          <w:szCs w:val="20"/>
        </w:rPr>
      </w:pPr>
      <w:r w:rsidRPr="00E81805">
        <w:rPr>
          <w:sz w:val="20"/>
          <w:szCs w:val="20"/>
        </w:rPr>
        <w:t>Proportion of alcohol consumption in Tasmania by maternal age and election status 2012-2016</w:t>
      </w:r>
    </w:p>
    <w:p w14:paraId="7A606B4A" w14:textId="77777777" w:rsidR="007D2E3F" w:rsidRDefault="007D2E3F" w:rsidP="007D2E3F">
      <w:pPr>
        <w:spacing w:line="260" w:lineRule="atLeast"/>
        <w:jc w:val="center"/>
        <w:rPr>
          <w:b/>
        </w:rPr>
      </w:pPr>
      <w:r>
        <w:rPr>
          <w:b/>
          <w:noProof/>
          <w:lang w:eastAsia="en-AU"/>
        </w:rPr>
        <w:drawing>
          <wp:inline distT="0" distB="0" distL="0" distR="0" wp14:anchorId="124DCE02" wp14:editId="002E6DCD">
            <wp:extent cx="4468483" cy="1508323"/>
            <wp:effectExtent l="0" t="0" r="8890" b="0"/>
            <wp:docPr id="4" name="Picture 4" descr="Table showing the proportion of alcohol consumption in Tasmania by maternal age and election status 2012-2016 showing an overall reduction from 9.1 in  2012 to 4.0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E455C5.tmp"/>
                    <pic:cNvPicPr/>
                  </pic:nvPicPr>
                  <pic:blipFill rotWithShape="1">
                    <a:blip r:embed="rId37">
                      <a:extLst>
                        <a:ext uri="{28A0092B-C50C-407E-A947-70E740481C1C}">
                          <a14:useLocalDpi xmlns:a14="http://schemas.microsoft.com/office/drawing/2010/main" val="0"/>
                        </a:ext>
                      </a:extLst>
                    </a:blip>
                    <a:srcRect l="20619" t="29335" r="19962" b="44672"/>
                    <a:stretch/>
                  </pic:blipFill>
                  <pic:spPr bwMode="auto">
                    <a:xfrm>
                      <a:off x="0" y="0"/>
                      <a:ext cx="4544104" cy="1533848"/>
                    </a:xfrm>
                    <a:prstGeom prst="rect">
                      <a:avLst/>
                    </a:prstGeom>
                    <a:ln>
                      <a:noFill/>
                    </a:ln>
                    <a:extLst>
                      <a:ext uri="{53640926-AAD7-44D8-BBD7-CCE9431645EC}">
                        <a14:shadowObscured xmlns:a14="http://schemas.microsoft.com/office/drawing/2010/main"/>
                      </a:ext>
                    </a:extLst>
                  </pic:spPr>
                </pic:pic>
              </a:graphicData>
            </a:graphic>
          </wp:inline>
        </w:drawing>
      </w:r>
    </w:p>
    <w:p w14:paraId="04A5ADE0" w14:textId="77777777" w:rsidR="00996CFE" w:rsidRPr="004C744B" w:rsidRDefault="00996CFE" w:rsidP="00996CFE">
      <w:pPr>
        <w:pStyle w:val="Heading3"/>
        <w:rPr>
          <w:i/>
          <w:sz w:val="24"/>
          <w:szCs w:val="24"/>
        </w:rPr>
      </w:pPr>
      <w:r w:rsidRPr="004C744B">
        <w:rPr>
          <w:sz w:val="24"/>
          <w:szCs w:val="24"/>
        </w:rPr>
        <w:t>Alcohol and other drug treatment services in Australia 2017-18</w:t>
      </w:r>
      <w:r w:rsidRPr="004C744B">
        <w:rPr>
          <w:i/>
          <w:sz w:val="24"/>
          <w:szCs w:val="24"/>
        </w:rPr>
        <w:t xml:space="preserve"> </w:t>
      </w:r>
    </w:p>
    <w:p w14:paraId="6000DD35" w14:textId="19D467FA" w:rsidR="007D2E3F" w:rsidRDefault="007D2E3F" w:rsidP="00935578">
      <w:pPr>
        <w:spacing w:line="260" w:lineRule="atLeast"/>
      </w:pPr>
      <w:r w:rsidRPr="00486227">
        <w:t>The Australian Institute of Health and Welfare (AIHW, 2019</w:t>
      </w:r>
      <w:r>
        <w:t>b</w:t>
      </w:r>
      <w:r w:rsidRPr="00486227">
        <w:t>) report</w:t>
      </w:r>
      <w:r w:rsidRPr="00486227">
        <w:rPr>
          <w:b/>
        </w:rPr>
        <w:t xml:space="preserve"> </w:t>
      </w:r>
      <w:r w:rsidRPr="00996CFE">
        <w:rPr>
          <w:iCs/>
        </w:rPr>
        <w:t>Alcohol and other drug treatment services in Australia 2017-18</w:t>
      </w:r>
      <w:r w:rsidRPr="00486227">
        <w:rPr>
          <w:i/>
          <w:iCs/>
        </w:rPr>
        <w:t xml:space="preserve"> </w:t>
      </w:r>
      <w:r w:rsidRPr="00486227">
        <w:rPr>
          <w:iCs/>
        </w:rPr>
        <w:t xml:space="preserve">reports against </w:t>
      </w:r>
      <w:r>
        <w:rPr>
          <w:iCs/>
        </w:rPr>
        <w:t xml:space="preserve">a </w:t>
      </w:r>
      <w:r w:rsidRPr="00486227">
        <w:t>nationally agreed set of common data items collected by government funded service providers of clients of alcohol and other drug treatment services.</w:t>
      </w:r>
      <w:r>
        <w:t xml:space="preserve">  It</w:t>
      </w:r>
      <w:r w:rsidRPr="00486227">
        <w:t xml:space="preserve"> contains information on all treatment episodes provided by in-scope agencies where the episode was closed in the relevant financial year. </w:t>
      </w:r>
      <w:r>
        <w:t>For Tasmania:</w:t>
      </w:r>
    </w:p>
    <w:p w14:paraId="1C3326AD" w14:textId="77777777" w:rsidR="007D2E3F" w:rsidRDefault="007D2E3F" w:rsidP="007D2E3F">
      <w:pPr>
        <w:spacing w:line="260" w:lineRule="atLeast"/>
        <w:jc w:val="center"/>
      </w:pPr>
      <w:r>
        <w:rPr>
          <w:noProof/>
          <w:lang w:eastAsia="en-AU"/>
        </w:rPr>
        <w:drawing>
          <wp:inline distT="0" distB="0" distL="0" distR="0" wp14:anchorId="60E024B4" wp14:editId="40B13277">
            <wp:extent cx="4382219" cy="1582625"/>
            <wp:effectExtent l="0" t="0" r="0" b="0"/>
            <wp:docPr id="9" name="Picture 9" descr="Graphical depiction of Tasmanian treatment episodes in 2017-2018 compared with the national treatment episodes. Sourced from the AODTS NMDS.&#10;3736 closed treatment episodes in Tasmania (Australia 208,935), 2725 estimated clients received treatments (Australia 129,832), 807 episodes per 100,000 pop. (Australia 967), 589 clients per 10,000 pop. (Australia 601) &#1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6027E1.tmp"/>
                    <pic:cNvPicPr/>
                  </pic:nvPicPr>
                  <pic:blipFill rotWithShape="1">
                    <a:blip r:embed="rId39">
                      <a:extLst>
                        <a:ext uri="{28A0092B-C50C-407E-A947-70E740481C1C}">
                          <a14:useLocalDpi xmlns:a14="http://schemas.microsoft.com/office/drawing/2010/main" val="0"/>
                        </a:ext>
                      </a:extLst>
                    </a:blip>
                    <a:srcRect l="27062" t="33061" r="6087" b="35651"/>
                    <a:stretch/>
                  </pic:blipFill>
                  <pic:spPr bwMode="auto">
                    <a:xfrm>
                      <a:off x="0" y="0"/>
                      <a:ext cx="4382219" cy="1582625"/>
                    </a:xfrm>
                    <a:prstGeom prst="rect">
                      <a:avLst/>
                    </a:prstGeom>
                    <a:ln>
                      <a:noFill/>
                    </a:ln>
                    <a:extLst>
                      <a:ext uri="{53640926-AAD7-44D8-BBD7-CCE9431645EC}">
                        <a14:shadowObscured xmlns:a14="http://schemas.microsoft.com/office/drawing/2010/main"/>
                      </a:ext>
                    </a:extLst>
                  </pic:spPr>
                </pic:pic>
              </a:graphicData>
            </a:graphic>
          </wp:inline>
        </w:drawing>
      </w:r>
    </w:p>
    <w:p w14:paraId="715F8E51" w14:textId="77777777" w:rsidR="007D2E3F" w:rsidRPr="007C1859" w:rsidRDefault="007D2E3F" w:rsidP="00935578">
      <w:pPr>
        <w:spacing w:line="260" w:lineRule="atLeast"/>
        <w:rPr>
          <w:rFonts w:cs="Arial"/>
        </w:rPr>
      </w:pPr>
      <w:r w:rsidRPr="007C1859">
        <w:rPr>
          <w:rFonts w:cs="Arial"/>
        </w:rPr>
        <w:lastRenderedPageBreak/>
        <w:t>Of the 2,725 total clients who received treatment in 2017–18:</w:t>
      </w:r>
    </w:p>
    <w:p w14:paraId="64F0D616" w14:textId="4473C421" w:rsidR="00976B5F" w:rsidRDefault="00976B5F" w:rsidP="00976B5F">
      <w:pPr>
        <w:numPr>
          <w:ilvl w:val="0"/>
          <w:numId w:val="64"/>
        </w:numPr>
        <w:tabs>
          <w:tab w:val="clear" w:pos="567"/>
        </w:tabs>
        <w:spacing w:line="260" w:lineRule="atLeast"/>
        <w:ind w:left="426" w:hanging="426"/>
        <w:rPr>
          <w:rFonts w:cs="Arial"/>
        </w:rPr>
      </w:pPr>
      <w:r>
        <w:rPr>
          <w:rFonts w:cs="Arial"/>
        </w:rPr>
        <w:t>11.5 per cent identified as Indigenous (compared to 4.6 per cent of the Tasmanian population</w:t>
      </w:r>
      <w:r>
        <w:rPr>
          <w:rStyle w:val="FootnoteReference"/>
          <w:rFonts w:cs="Arial"/>
        </w:rPr>
        <w:footnoteReference w:id="9"/>
      </w:r>
      <w:r>
        <w:rPr>
          <w:rFonts w:cs="Arial"/>
        </w:rPr>
        <w:t xml:space="preserve"> identifying as Indigenous)</w:t>
      </w:r>
    </w:p>
    <w:p w14:paraId="79E3A099" w14:textId="77777777" w:rsidR="007D2E3F" w:rsidRPr="007C1859" w:rsidRDefault="007D2E3F" w:rsidP="00935578">
      <w:pPr>
        <w:numPr>
          <w:ilvl w:val="0"/>
          <w:numId w:val="64"/>
        </w:numPr>
        <w:tabs>
          <w:tab w:val="clear" w:pos="567"/>
        </w:tabs>
        <w:spacing w:line="260" w:lineRule="atLeast"/>
        <w:ind w:left="426" w:hanging="426"/>
        <w:rPr>
          <w:rFonts w:cs="Arial"/>
        </w:rPr>
      </w:pPr>
      <w:r w:rsidRPr="007C1859">
        <w:rPr>
          <w:rFonts w:cs="Arial"/>
        </w:rPr>
        <w:t>62</w:t>
      </w:r>
      <w:r>
        <w:rPr>
          <w:rFonts w:cs="Arial"/>
        </w:rPr>
        <w:t xml:space="preserve"> per cent</w:t>
      </w:r>
      <w:r w:rsidRPr="007C1859">
        <w:rPr>
          <w:rFonts w:cs="Arial"/>
        </w:rPr>
        <w:t xml:space="preserve"> (1,699) received treatment in 2017–18 only</w:t>
      </w:r>
    </w:p>
    <w:p w14:paraId="2C95126E" w14:textId="77777777" w:rsidR="007D2E3F" w:rsidRPr="007C1859" w:rsidRDefault="007D2E3F" w:rsidP="00935578">
      <w:pPr>
        <w:numPr>
          <w:ilvl w:val="0"/>
          <w:numId w:val="64"/>
        </w:numPr>
        <w:tabs>
          <w:tab w:val="clear" w:pos="567"/>
        </w:tabs>
        <w:spacing w:line="260" w:lineRule="atLeast"/>
        <w:ind w:left="426" w:hanging="426"/>
        <w:rPr>
          <w:rFonts w:cs="Arial"/>
        </w:rPr>
      </w:pPr>
      <w:r w:rsidRPr="007C1859">
        <w:rPr>
          <w:rFonts w:cs="Arial"/>
        </w:rPr>
        <w:t>9</w:t>
      </w:r>
      <w:r>
        <w:rPr>
          <w:rFonts w:cs="Arial"/>
        </w:rPr>
        <w:t xml:space="preserve"> per cent</w:t>
      </w:r>
      <w:r w:rsidRPr="007C1859">
        <w:rPr>
          <w:rFonts w:cs="Arial"/>
        </w:rPr>
        <w:t xml:space="preserve"> (250) received treatment in both 2016–17 and 2017–18</w:t>
      </w:r>
    </w:p>
    <w:p w14:paraId="6DF0E1BF" w14:textId="77777777" w:rsidR="007D2E3F" w:rsidRPr="007C1859" w:rsidRDefault="007D2E3F" w:rsidP="00935578">
      <w:pPr>
        <w:numPr>
          <w:ilvl w:val="0"/>
          <w:numId w:val="64"/>
        </w:numPr>
        <w:tabs>
          <w:tab w:val="clear" w:pos="567"/>
        </w:tabs>
        <w:spacing w:line="260" w:lineRule="atLeast"/>
        <w:ind w:left="426" w:hanging="426"/>
        <w:rPr>
          <w:rFonts w:cs="Arial"/>
        </w:rPr>
      </w:pPr>
      <w:r w:rsidRPr="007C1859">
        <w:rPr>
          <w:rFonts w:cs="Arial"/>
        </w:rPr>
        <w:t>4.1</w:t>
      </w:r>
      <w:r>
        <w:rPr>
          <w:rFonts w:cs="Arial"/>
        </w:rPr>
        <w:t xml:space="preserve"> per cent</w:t>
      </w:r>
      <w:r w:rsidRPr="007C1859">
        <w:rPr>
          <w:rFonts w:cs="Arial"/>
        </w:rPr>
        <w:t xml:space="preserve"> (111) received treatment in each year from 2015–16 to 2017–18</w:t>
      </w:r>
    </w:p>
    <w:p w14:paraId="4D1149C8" w14:textId="77777777" w:rsidR="007D2E3F" w:rsidRPr="007C1859" w:rsidRDefault="007D2E3F" w:rsidP="00935578">
      <w:pPr>
        <w:numPr>
          <w:ilvl w:val="0"/>
          <w:numId w:val="64"/>
        </w:numPr>
        <w:tabs>
          <w:tab w:val="clear" w:pos="567"/>
        </w:tabs>
        <w:spacing w:line="260" w:lineRule="atLeast"/>
        <w:ind w:left="426" w:hanging="426"/>
        <w:rPr>
          <w:rFonts w:cs="Arial"/>
        </w:rPr>
      </w:pPr>
      <w:r w:rsidRPr="007C1859">
        <w:rPr>
          <w:rFonts w:cs="Arial"/>
        </w:rPr>
        <w:t>2.3</w:t>
      </w:r>
      <w:r>
        <w:rPr>
          <w:rFonts w:cs="Arial"/>
        </w:rPr>
        <w:t xml:space="preserve"> per cent</w:t>
      </w:r>
      <w:r w:rsidRPr="007C1859">
        <w:rPr>
          <w:rFonts w:cs="Arial"/>
        </w:rPr>
        <w:t xml:space="preserve"> (63) received treatment in each year from 2014–15 to 2017–18</w:t>
      </w:r>
    </w:p>
    <w:p w14:paraId="2B485EFD" w14:textId="58478F0B" w:rsidR="007D2E3F" w:rsidRDefault="007D2E3F" w:rsidP="00935578">
      <w:pPr>
        <w:numPr>
          <w:ilvl w:val="0"/>
          <w:numId w:val="64"/>
        </w:numPr>
        <w:tabs>
          <w:tab w:val="clear" w:pos="567"/>
        </w:tabs>
        <w:spacing w:line="260" w:lineRule="atLeast"/>
        <w:ind w:left="426" w:hanging="426"/>
        <w:rPr>
          <w:rFonts w:cs="Arial"/>
        </w:rPr>
      </w:pPr>
      <w:r w:rsidRPr="007C1859">
        <w:rPr>
          <w:rFonts w:cs="Arial"/>
        </w:rPr>
        <w:t>1.2</w:t>
      </w:r>
      <w:r>
        <w:rPr>
          <w:rFonts w:cs="Arial"/>
        </w:rPr>
        <w:t xml:space="preserve"> per cent</w:t>
      </w:r>
      <w:r w:rsidRPr="007C1859">
        <w:rPr>
          <w:rFonts w:cs="Arial"/>
        </w:rPr>
        <w:t xml:space="preserve"> (32) received treatment in all years, from 2013–14 to 2017–18</w:t>
      </w:r>
    </w:p>
    <w:p w14:paraId="1270E7E1" w14:textId="77777777" w:rsidR="007D2E3F" w:rsidRPr="007C1859" w:rsidRDefault="007D2E3F" w:rsidP="00935578">
      <w:pPr>
        <w:numPr>
          <w:ilvl w:val="0"/>
          <w:numId w:val="64"/>
        </w:numPr>
        <w:tabs>
          <w:tab w:val="clear" w:pos="567"/>
        </w:tabs>
        <w:spacing w:line="260" w:lineRule="atLeast"/>
        <w:ind w:left="426" w:hanging="426"/>
        <w:rPr>
          <w:rFonts w:cs="Arial"/>
        </w:rPr>
      </w:pPr>
      <w:r w:rsidRPr="007C1859">
        <w:rPr>
          <w:rFonts w:cs="Arial"/>
        </w:rPr>
        <w:t>alcohol was the most common principal drug of concern for clients in Tasmania (41</w:t>
      </w:r>
      <w:r>
        <w:rPr>
          <w:rFonts w:cs="Arial"/>
        </w:rPr>
        <w:t xml:space="preserve"> per cent</w:t>
      </w:r>
      <w:r w:rsidRPr="007C1859">
        <w:rPr>
          <w:rFonts w:cs="Arial"/>
        </w:rPr>
        <w:t xml:space="preserve"> of episodes)</w:t>
      </w:r>
    </w:p>
    <w:p w14:paraId="107C5FA9" w14:textId="77777777" w:rsidR="007D2E3F" w:rsidRDefault="007D2E3F" w:rsidP="00935578">
      <w:pPr>
        <w:numPr>
          <w:ilvl w:val="0"/>
          <w:numId w:val="64"/>
        </w:numPr>
        <w:tabs>
          <w:tab w:val="clear" w:pos="567"/>
        </w:tabs>
        <w:spacing w:line="260" w:lineRule="atLeast"/>
        <w:ind w:left="426" w:hanging="426"/>
        <w:rPr>
          <w:rFonts w:cs="Arial"/>
        </w:rPr>
      </w:pPr>
      <w:r w:rsidRPr="007C1859">
        <w:rPr>
          <w:rFonts w:cs="Arial"/>
        </w:rPr>
        <w:t>amphetamines as a principal drug of concern accounted for just under one-quarter of episodes (24</w:t>
      </w:r>
      <w:r>
        <w:rPr>
          <w:rFonts w:cs="Arial"/>
        </w:rPr>
        <w:t xml:space="preserve"> per cent</w:t>
      </w:r>
      <w:r w:rsidRPr="007C1859">
        <w:rPr>
          <w:rFonts w:cs="Arial"/>
        </w:rPr>
        <w:t>), followed by cannabis (20</w:t>
      </w:r>
      <w:r>
        <w:rPr>
          <w:rFonts w:cs="Arial"/>
        </w:rPr>
        <w:t xml:space="preserve"> per cent</w:t>
      </w:r>
      <w:r w:rsidRPr="007C1859">
        <w:rPr>
          <w:rFonts w:cs="Arial"/>
        </w:rPr>
        <w:t>), and morphine (3.8</w:t>
      </w:r>
      <w:r>
        <w:rPr>
          <w:rFonts w:cs="Arial"/>
        </w:rPr>
        <w:t xml:space="preserve"> per cent</w:t>
      </w:r>
      <w:r w:rsidRPr="007C1859">
        <w:rPr>
          <w:rFonts w:cs="Arial"/>
        </w:rPr>
        <w:t>).</w:t>
      </w:r>
    </w:p>
    <w:p w14:paraId="0E6E7D5C" w14:textId="77777777" w:rsidR="007D2E3F" w:rsidRPr="007C1859" w:rsidRDefault="007D2E3F" w:rsidP="00935578">
      <w:pPr>
        <w:numPr>
          <w:ilvl w:val="0"/>
          <w:numId w:val="65"/>
        </w:numPr>
        <w:tabs>
          <w:tab w:val="clear" w:pos="567"/>
        </w:tabs>
        <w:spacing w:line="260" w:lineRule="atLeast"/>
        <w:ind w:left="426" w:hanging="426"/>
        <w:rPr>
          <w:rFonts w:cs="Arial"/>
        </w:rPr>
      </w:pPr>
      <w:r w:rsidRPr="007C1859">
        <w:rPr>
          <w:rFonts w:cs="Arial"/>
        </w:rPr>
        <w:t>counselling as the most common main treatment in Tasmania (44</w:t>
      </w:r>
      <w:r>
        <w:rPr>
          <w:rFonts w:cs="Arial"/>
        </w:rPr>
        <w:t xml:space="preserve"> per cent</w:t>
      </w:r>
      <w:r w:rsidRPr="007C1859">
        <w:rPr>
          <w:rFonts w:cs="Arial"/>
        </w:rPr>
        <w:t xml:space="preserve"> of episodes), followed by assessment only (23</w:t>
      </w:r>
      <w:r>
        <w:rPr>
          <w:rFonts w:cs="Arial"/>
        </w:rPr>
        <w:t xml:space="preserve"> per cent</w:t>
      </w:r>
      <w:r w:rsidRPr="007C1859">
        <w:rPr>
          <w:rFonts w:cs="Arial"/>
        </w:rPr>
        <w:t>), and rehabilitation (21</w:t>
      </w:r>
      <w:r>
        <w:rPr>
          <w:rFonts w:cs="Arial"/>
        </w:rPr>
        <w:t xml:space="preserve"> per cent</w:t>
      </w:r>
      <w:r w:rsidRPr="007C1859">
        <w:rPr>
          <w:rFonts w:cs="Arial"/>
        </w:rPr>
        <w:t>)</w:t>
      </w:r>
      <w:r>
        <w:rPr>
          <w:rFonts w:cs="Arial"/>
        </w:rPr>
        <w:t xml:space="preserve">. </w:t>
      </w:r>
    </w:p>
    <w:p w14:paraId="3FCBF748" w14:textId="77777777" w:rsidR="007D2E3F" w:rsidRPr="007C1859" w:rsidRDefault="007D2E3F" w:rsidP="00935578">
      <w:pPr>
        <w:numPr>
          <w:ilvl w:val="0"/>
          <w:numId w:val="64"/>
        </w:numPr>
        <w:tabs>
          <w:tab w:val="clear" w:pos="567"/>
        </w:tabs>
        <w:spacing w:line="260" w:lineRule="atLeast"/>
        <w:ind w:left="426" w:hanging="426"/>
        <w:rPr>
          <w:rFonts w:cs="Arial"/>
        </w:rPr>
      </w:pPr>
      <w:r w:rsidRPr="007C1859">
        <w:rPr>
          <w:rFonts w:cs="Arial"/>
        </w:rPr>
        <w:t>where an additional treatment was provided as a supplementary to the main treatment, counselling (7</w:t>
      </w:r>
      <w:r>
        <w:rPr>
          <w:rFonts w:cs="Arial"/>
        </w:rPr>
        <w:t xml:space="preserve"> per cent</w:t>
      </w:r>
      <w:r w:rsidRPr="007C1859">
        <w:rPr>
          <w:rFonts w:cs="Arial"/>
        </w:rPr>
        <w:t>) was the most common type of additional treatment, followed by other (2</w:t>
      </w:r>
      <w:r>
        <w:rPr>
          <w:rFonts w:cs="Arial"/>
        </w:rPr>
        <w:t xml:space="preserve"> per cent</w:t>
      </w:r>
      <w:r w:rsidRPr="007C1859">
        <w:rPr>
          <w:rFonts w:cs="Arial"/>
        </w:rPr>
        <w:t>).</w:t>
      </w:r>
    </w:p>
    <w:p w14:paraId="0EDA5C3A" w14:textId="77777777" w:rsidR="007D2E3F" w:rsidRPr="007C1859" w:rsidRDefault="007D2E3F" w:rsidP="00935578">
      <w:pPr>
        <w:spacing w:line="260" w:lineRule="atLeast"/>
        <w:rPr>
          <w:rFonts w:cs="Arial"/>
        </w:rPr>
      </w:pPr>
      <w:r w:rsidRPr="007C1859">
        <w:rPr>
          <w:rFonts w:cs="Arial"/>
        </w:rPr>
        <w:t>Over the period 2013–14 to 2017–18:</w:t>
      </w:r>
    </w:p>
    <w:p w14:paraId="6A10D317" w14:textId="77777777" w:rsidR="007D2E3F" w:rsidRPr="007C1859" w:rsidRDefault="007D2E3F" w:rsidP="00935578">
      <w:pPr>
        <w:numPr>
          <w:ilvl w:val="0"/>
          <w:numId w:val="65"/>
        </w:numPr>
        <w:tabs>
          <w:tab w:val="clear" w:pos="567"/>
        </w:tabs>
        <w:spacing w:line="260" w:lineRule="atLeast"/>
        <w:ind w:left="426" w:hanging="426"/>
        <w:rPr>
          <w:rFonts w:cs="Arial"/>
        </w:rPr>
      </w:pPr>
      <w:r w:rsidRPr="007C1859">
        <w:rPr>
          <w:rFonts w:cs="Arial"/>
        </w:rPr>
        <w:t>counselling remained the most common main treatment, despite the proportion of closed episodes dropping from 62</w:t>
      </w:r>
      <w:r>
        <w:rPr>
          <w:rFonts w:cs="Arial"/>
        </w:rPr>
        <w:t xml:space="preserve"> per cent</w:t>
      </w:r>
      <w:r w:rsidRPr="007C1859">
        <w:rPr>
          <w:rFonts w:cs="Arial"/>
        </w:rPr>
        <w:t xml:space="preserve"> in 2013–14 to 44</w:t>
      </w:r>
      <w:r>
        <w:rPr>
          <w:rFonts w:cs="Arial"/>
        </w:rPr>
        <w:t xml:space="preserve"> per cent</w:t>
      </w:r>
      <w:r w:rsidRPr="007C1859">
        <w:rPr>
          <w:rFonts w:cs="Arial"/>
        </w:rPr>
        <w:t xml:space="preserve"> in 2017–18</w:t>
      </w:r>
    </w:p>
    <w:p w14:paraId="227F1823" w14:textId="77777777" w:rsidR="007D2E3F" w:rsidRPr="007C1859" w:rsidRDefault="007D2E3F" w:rsidP="00935578">
      <w:pPr>
        <w:numPr>
          <w:ilvl w:val="0"/>
          <w:numId w:val="65"/>
        </w:numPr>
        <w:tabs>
          <w:tab w:val="clear" w:pos="567"/>
        </w:tabs>
        <w:spacing w:line="260" w:lineRule="atLeast"/>
        <w:ind w:left="426" w:hanging="426"/>
        <w:rPr>
          <w:rFonts w:cs="Arial"/>
        </w:rPr>
      </w:pPr>
      <w:r w:rsidRPr="007C1859">
        <w:rPr>
          <w:rFonts w:cs="Arial"/>
        </w:rPr>
        <w:t>assessment only increased from 18</w:t>
      </w:r>
      <w:r>
        <w:rPr>
          <w:rFonts w:cs="Arial"/>
        </w:rPr>
        <w:t xml:space="preserve"> per cent</w:t>
      </w:r>
      <w:r w:rsidRPr="007C1859">
        <w:rPr>
          <w:rFonts w:cs="Arial"/>
        </w:rPr>
        <w:t xml:space="preserve"> in 2013–14 to 32</w:t>
      </w:r>
      <w:r>
        <w:rPr>
          <w:rFonts w:cs="Arial"/>
        </w:rPr>
        <w:t xml:space="preserve"> per cent</w:t>
      </w:r>
      <w:r w:rsidRPr="007C1859">
        <w:rPr>
          <w:rFonts w:cs="Arial"/>
        </w:rPr>
        <w:t xml:space="preserve"> in 2014–15, but has decreased over the past three years to 23</w:t>
      </w:r>
      <w:r>
        <w:rPr>
          <w:rFonts w:cs="Arial"/>
        </w:rPr>
        <w:t xml:space="preserve"> per cent</w:t>
      </w:r>
      <w:r w:rsidRPr="007C1859">
        <w:rPr>
          <w:rFonts w:cs="Arial"/>
        </w:rPr>
        <w:t xml:space="preserve"> in 2017–18</w:t>
      </w:r>
    </w:p>
    <w:p w14:paraId="00CDB715" w14:textId="77777777" w:rsidR="007D2E3F" w:rsidRPr="007C1859" w:rsidRDefault="007D2E3F" w:rsidP="00935578">
      <w:pPr>
        <w:numPr>
          <w:ilvl w:val="0"/>
          <w:numId w:val="65"/>
        </w:numPr>
        <w:tabs>
          <w:tab w:val="clear" w:pos="567"/>
        </w:tabs>
        <w:spacing w:line="260" w:lineRule="atLeast"/>
        <w:ind w:left="426" w:hanging="426"/>
        <w:rPr>
          <w:rFonts w:cs="Arial"/>
        </w:rPr>
      </w:pPr>
      <w:r w:rsidRPr="007C1859">
        <w:rPr>
          <w:rFonts w:cs="Arial"/>
        </w:rPr>
        <w:t>rehabilitation increased, climbing from 5</w:t>
      </w:r>
      <w:r>
        <w:rPr>
          <w:rFonts w:cs="Arial"/>
        </w:rPr>
        <w:t xml:space="preserve"> per cent</w:t>
      </w:r>
      <w:r w:rsidRPr="007C1859">
        <w:rPr>
          <w:rFonts w:cs="Arial"/>
        </w:rPr>
        <w:t xml:space="preserve"> in 2013–14 to 21</w:t>
      </w:r>
      <w:r>
        <w:rPr>
          <w:rFonts w:cs="Arial"/>
        </w:rPr>
        <w:t xml:space="preserve"> per cent</w:t>
      </w:r>
      <w:r w:rsidRPr="007C1859">
        <w:rPr>
          <w:rFonts w:cs="Arial"/>
        </w:rPr>
        <w:t xml:space="preserve"> in 2017–18, the proportion of episodes for rehabilitation is higher in Tasmania than the national rate</w:t>
      </w:r>
      <w:r>
        <w:rPr>
          <w:rFonts w:cs="Arial"/>
        </w:rPr>
        <w:t>.</w:t>
      </w:r>
      <w:r w:rsidRPr="007C1859">
        <w:rPr>
          <w:rFonts w:cs="Arial"/>
        </w:rPr>
        <w:t xml:space="preserve"> </w:t>
      </w:r>
    </w:p>
    <w:p w14:paraId="6EF5553A" w14:textId="77777777" w:rsidR="007D2E3F" w:rsidRDefault="007D2E3F" w:rsidP="00935578">
      <w:pPr>
        <w:pStyle w:val="BulletedListLevel1"/>
        <w:numPr>
          <w:ilvl w:val="0"/>
          <w:numId w:val="65"/>
        </w:numPr>
        <w:spacing w:line="260" w:lineRule="atLeast"/>
        <w:ind w:left="426" w:hanging="426"/>
      </w:pPr>
      <w:r>
        <w:t>The figure below shows only slight changes to the principal drug of concern in Tasmania over the last nine (9) years.</w:t>
      </w:r>
    </w:p>
    <w:p w14:paraId="54D37F8A" w14:textId="77777777" w:rsidR="007D2E3F" w:rsidRPr="00FB32FB" w:rsidRDefault="007D2E3F" w:rsidP="007D2E3F">
      <w:pPr>
        <w:pStyle w:val="BulletedListLevel1"/>
        <w:numPr>
          <w:ilvl w:val="0"/>
          <w:numId w:val="0"/>
        </w:numPr>
        <w:ind w:left="426"/>
        <w:jc w:val="center"/>
        <w:rPr>
          <w:rFonts w:ascii="Arial" w:hAnsi="Arial" w:cs="Arial"/>
        </w:rPr>
      </w:pPr>
      <w:r>
        <w:rPr>
          <w:noProof/>
          <w:lang w:eastAsia="en-AU"/>
        </w:rPr>
        <w:drawing>
          <wp:inline distT="0" distB="0" distL="0" distR="0" wp14:anchorId="4D3AFCE2" wp14:editId="6A247B1B">
            <wp:extent cx="5273091" cy="2691442"/>
            <wp:effectExtent l="0" t="0" r="3810" b="0"/>
            <wp:docPr id="13" name="Picture 13" descr="Most common principal drugs of concern, Tasmania&#10;Source: AIHW Alcohol and Other Drug Treatment Services National Minimum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2697" t="23493" r="20043" b="46356"/>
                    <a:stretch/>
                  </pic:blipFill>
                  <pic:spPr bwMode="auto">
                    <a:xfrm>
                      <a:off x="0" y="0"/>
                      <a:ext cx="5295989" cy="2703129"/>
                    </a:xfrm>
                    <a:prstGeom prst="rect">
                      <a:avLst/>
                    </a:prstGeom>
                    <a:ln>
                      <a:noFill/>
                    </a:ln>
                    <a:extLst>
                      <a:ext uri="{53640926-AAD7-44D8-BBD7-CCE9431645EC}">
                        <a14:shadowObscured xmlns:a14="http://schemas.microsoft.com/office/drawing/2010/main"/>
                      </a:ext>
                    </a:extLst>
                  </pic:spPr>
                </pic:pic>
              </a:graphicData>
            </a:graphic>
          </wp:inline>
        </w:drawing>
      </w:r>
    </w:p>
    <w:p w14:paraId="50D0C50C" w14:textId="77777777" w:rsidR="00935578" w:rsidRDefault="00935578" w:rsidP="00935578">
      <w:pPr>
        <w:pStyle w:val="BulletedListLevel1"/>
        <w:keepNext/>
        <w:numPr>
          <w:ilvl w:val="0"/>
          <w:numId w:val="0"/>
        </w:numPr>
        <w:spacing w:line="260" w:lineRule="atLeast"/>
      </w:pPr>
    </w:p>
    <w:p w14:paraId="4CF8B5AD" w14:textId="77777777" w:rsidR="00996CFE" w:rsidRPr="004C744B" w:rsidRDefault="00996CFE" w:rsidP="00996CFE">
      <w:pPr>
        <w:pStyle w:val="Heading3"/>
        <w:rPr>
          <w:sz w:val="24"/>
          <w:szCs w:val="24"/>
        </w:rPr>
      </w:pPr>
      <w:r w:rsidRPr="004C744B">
        <w:rPr>
          <w:sz w:val="24"/>
          <w:szCs w:val="24"/>
        </w:rPr>
        <w:t xml:space="preserve">National Opioid Pharmacotherapy Statistics Annual Data Collection (NOPSAD) </w:t>
      </w:r>
    </w:p>
    <w:p w14:paraId="7424371F" w14:textId="14EC91C2" w:rsidR="007D2E3F" w:rsidRDefault="007D2E3F" w:rsidP="001D6CC9">
      <w:pPr>
        <w:pStyle w:val="BulletedListLevel1"/>
        <w:keepNext/>
        <w:numPr>
          <w:ilvl w:val="0"/>
          <w:numId w:val="0"/>
        </w:numPr>
        <w:spacing w:line="280" w:lineRule="atLeast"/>
        <w:rPr>
          <w:lang w:eastAsia="en-AU"/>
        </w:rPr>
      </w:pPr>
      <w:r>
        <w:t xml:space="preserve">The </w:t>
      </w:r>
      <w:r w:rsidR="00F45B81">
        <w:t>NOPSAD</w:t>
      </w:r>
      <w:r>
        <w:rPr>
          <w:b/>
        </w:rPr>
        <w:t xml:space="preserve"> </w:t>
      </w:r>
      <w:r>
        <w:rPr>
          <w:lang w:eastAsia="en-AU"/>
        </w:rPr>
        <w:t>snapshots a day in June 2018 and provides information on clients receiving opioid pharmacotherapy treatment, the doctors prescribing opioid pharmacotherapy drugs and the dosing points (primarily community pharmacies) that clients attend to receive their medication.</w:t>
      </w:r>
    </w:p>
    <w:p w14:paraId="2C639154" w14:textId="77777777" w:rsidR="007D2E3F" w:rsidRDefault="007D2E3F" w:rsidP="008B3CB7">
      <w:pPr>
        <w:pStyle w:val="BulletedListLevel1"/>
        <w:numPr>
          <w:ilvl w:val="0"/>
          <w:numId w:val="0"/>
        </w:numPr>
        <w:spacing w:line="280" w:lineRule="atLeast"/>
        <w:rPr>
          <w:lang w:eastAsia="en-AU"/>
        </w:rPr>
      </w:pPr>
      <w:r>
        <w:rPr>
          <w:lang w:eastAsia="en-AU"/>
        </w:rPr>
        <w:t>Dependence on opioid drugs which included illicit opioids (predominantly heroin) and prescription opioids (whether prescribed for the person or obtained illicitly) such as morphine and oxycodone, is associated with a range of health and social problems.</w:t>
      </w:r>
    </w:p>
    <w:p w14:paraId="02CB211B" w14:textId="77777777" w:rsidR="007D2E3F" w:rsidRDefault="007D2E3F" w:rsidP="00935578">
      <w:pPr>
        <w:pStyle w:val="BulletedListLevel1"/>
        <w:numPr>
          <w:ilvl w:val="0"/>
          <w:numId w:val="0"/>
        </w:numPr>
        <w:spacing w:line="260" w:lineRule="atLeast"/>
        <w:rPr>
          <w:lang w:eastAsia="en-AU"/>
        </w:rPr>
      </w:pPr>
      <w:r>
        <w:rPr>
          <w:lang w:eastAsia="en-AU"/>
        </w:rPr>
        <w:t>Opioid pharmacotherapy treatment is one of the main treatment types used for opioid drug dependence and involves replacing the opioid drug of dependence with a legally obtained longer-lasting opioid that is taken orally or sublingually depending on the drug involved.</w:t>
      </w:r>
    </w:p>
    <w:p w14:paraId="45C1B744" w14:textId="77777777" w:rsidR="007D2E3F" w:rsidRDefault="007D2E3F" w:rsidP="00935578">
      <w:pPr>
        <w:pStyle w:val="BulletedListLevel1"/>
        <w:numPr>
          <w:ilvl w:val="0"/>
          <w:numId w:val="0"/>
        </w:numPr>
        <w:spacing w:line="260" w:lineRule="atLeast"/>
        <w:ind w:left="567" w:hanging="567"/>
        <w:rPr>
          <w:lang w:eastAsia="en-AU"/>
        </w:rPr>
      </w:pPr>
      <w:r>
        <w:rPr>
          <w:lang w:eastAsia="en-AU"/>
        </w:rPr>
        <w:t>Broadly the 2018 NOPSAD report shows:</w:t>
      </w:r>
    </w:p>
    <w:p w14:paraId="33A076DC" w14:textId="77777777" w:rsidR="007D2E3F" w:rsidRDefault="007D2E3F" w:rsidP="00935578">
      <w:pPr>
        <w:pStyle w:val="BulletedListLevel1"/>
        <w:numPr>
          <w:ilvl w:val="1"/>
          <w:numId w:val="66"/>
        </w:numPr>
        <w:tabs>
          <w:tab w:val="clear" w:pos="1134"/>
          <w:tab w:val="num" w:pos="426"/>
        </w:tabs>
        <w:spacing w:line="260" w:lineRule="atLeast"/>
        <w:ind w:left="425" w:hanging="425"/>
        <w:rPr>
          <w:lang w:eastAsia="en-AU"/>
        </w:rPr>
      </w:pPr>
      <w:r>
        <w:rPr>
          <w:lang w:eastAsia="en-AU"/>
        </w:rPr>
        <w:t xml:space="preserve">Tasmania had 689 clients </w:t>
      </w:r>
      <w:proofErr w:type="spellStart"/>
      <w:r>
        <w:rPr>
          <w:lang w:eastAsia="en-AU"/>
        </w:rPr>
        <w:t>statewide</w:t>
      </w:r>
      <w:proofErr w:type="spellEnd"/>
      <w:r>
        <w:rPr>
          <w:lang w:eastAsia="en-AU"/>
        </w:rPr>
        <w:t xml:space="preserve"> receiving pharmacotherapy treatment on the snapshot day in June 2018, or 1.4 per cent of all clients nationwide, with a median age of 41 years.  The number of clients has reduced since 2017 where there were 748 clients receiving treatment in Tasmania.  </w:t>
      </w:r>
    </w:p>
    <w:p w14:paraId="2DFCA785" w14:textId="77777777" w:rsidR="007D2E3F" w:rsidRPr="00484839" w:rsidRDefault="007D2E3F" w:rsidP="00935578">
      <w:pPr>
        <w:pStyle w:val="BulletedListLevel1"/>
        <w:numPr>
          <w:ilvl w:val="1"/>
          <w:numId w:val="66"/>
        </w:numPr>
        <w:tabs>
          <w:tab w:val="clear" w:pos="1134"/>
          <w:tab w:val="num" w:pos="426"/>
        </w:tabs>
        <w:spacing w:line="260" w:lineRule="atLeast"/>
        <w:ind w:left="425" w:hanging="425"/>
        <w:rPr>
          <w:lang w:eastAsia="en-AU"/>
        </w:rPr>
      </w:pPr>
      <w:r w:rsidRPr="00484839">
        <w:rPr>
          <w:lang w:eastAsia="en-AU"/>
        </w:rPr>
        <w:t>As with previous years, methadone was the most common pharmacotherapy dr</w:t>
      </w:r>
      <w:r>
        <w:rPr>
          <w:lang w:eastAsia="en-AU"/>
        </w:rPr>
        <w:t>ug, with around two-thirds (62 per cent)</w:t>
      </w:r>
      <w:r w:rsidRPr="00484839">
        <w:rPr>
          <w:lang w:eastAsia="en-AU"/>
        </w:rPr>
        <w:t xml:space="preserve"> of clients treated with this drug.</w:t>
      </w:r>
      <w:r>
        <w:rPr>
          <w:lang w:eastAsia="en-AU"/>
        </w:rPr>
        <w:t xml:space="preserve">  This was slightly lower in Tasmania with 45 per cent being treated with methadone, 43 per cent with buprenorphine-naloxone and 12 per cent with buprenorphine.</w:t>
      </w:r>
      <w:r w:rsidRPr="00484839">
        <w:rPr>
          <w:lang w:eastAsia="en-AU"/>
        </w:rPr>
        <w:t xml:space="preserve"> </w:t>
      </w:r>
    </w:p>
    <w:p w14:paraId="50B36BBD" w14:textId="77777777" w:rsidR="007D2E3F" w:rsidRDefault="007D2E3F" w:rsidP="00935578">
      <w:pPr>
        <w:pStyle w:val="BulletedListLevel1"/>
        <w:numPr>
          <w:ilvl w:val="1"/>
          <w:numId w:val="66"/>
        </w:numPr>
        <w:tabs>
          <w:tab w:val="clear" w:pos="1134"/>
          <w:tab w:val="num" w:pos="426"/>
        </w:tabs>
        <w:spacing w:line="260" w:lineRule="atLeast"/>
        <w:ind w:left="425" w:hanging="425"/>
      </w:pPr>
      <w:r>
        <w:t>Tasmania has a high proportion of public prescribers (27 per cent) which is consistent with the national trend, also 27 per cent.</w:t>
      </w:r>
    </w:p>
    <w:p w14:paraId="0E390402" w14:textId="77777777" w:rsidR="007D2E3F" w:rsidRDefault="007D2E3F" w:rsidP="00935578">
      <w:pPr>
        <w:pStyle w:val="BulletedListLevel1"/>
        <w:numPr>
          <w:ilvl w:val="1"/>
          <w:numId w:val="66"/>
        </w:numPr>
        <w:tabs>
          <w:tab w:val="clear" w:pos="1134"/>
          <w:tab w:val="num" w:pos="426"/>
        </w:tabs>
        <w:spacing w:line="260" w:lineRule="atLeast"/>
        <w:ind w:left="425" w:hanging="425"/>
        <w:rPr>
          <w:lang w:eastAsia="en-AU"/>
        </w:rPr>
      </w:pPr>
      <w:r w:rsidRPr="00917644">
        <w:rPr>
          <w:lang w:eastAsia="en-AU"/>
        </w:rPr>
        <w:t>In Tasmania there were 36 authorised prescribers, 22 of which work in the private sector.</w:t>
      </w:r>
    </w:p>
    <w:p w14:paraId="3C5B8C1B" w14:textId="77777777" w:rsidR="007D2E3F" w:rsidRDefault="007D2E3F" w:rsidP="00935578">
      <w:pPr>
        <w:pStyle w:val="BulletedListLevel1"/>
        <w:numPr>
          <w:ilvl w:val="1"/>
          <w:numId w:val="66"/>
        </w:numPr>
        <w:tabs>
          <w:tab w:val="clear" w:pos="1134"/>
          <w:tab w:val="num" w:pos="426"/>
        </w:tabs>
        <w:spacing w:line="260" w:lineRule="atLeast"/>
        <w:ind w:left="425" w:hanging="425"/>
      </w:pPr>
      <w:r>
        <w:t>In Tasmania 6.4 per cent of clients identified as Indigenous. The Alcohol and Drug Services works in active partnership with the Tasmanian Aboriginal Health Services in Hobart to address this issue.</w:t>
      </w:r>
    </w:p>
    <w:p w14:paraId="0DFD378C" w14:textId="4648A19E" w:rsidR="00996CFE" w:rsidRPr="004C744B" w:rsidRDefault="00996CFE" w:rsidP="00996CFE">
      <w:pPr>
        <w:pStyle w:val="Heading3"/>
        <w:rPr>
          <w:sz w:val="24"/>
          <w:szCs w:val="24"/>
          <w:lang w:eastAsia="en-AU"/>
        </w:rPr>
      </w:pPr>
      <w:r w:rsidRPr="004C744B">
        <w:rPr>
          <w:sz w:val="24"/>
          <w:szCs w:val="24"/>
          <w:lang w:eastAsia="en-AU"/>
        </w:rPr>
        <w:t xml:space="preserve">Australian Criminal Intelligence Commission National Wastewater Drug Monitoring Program </w:t>
      </w:r>
    </w:p>
    <w:p w14:paraId="1F1AB74F" w14:textId="7C955CFC" w:rsidR="00E84D38" w:rsidRDefault="007D2E3F" w:rsidP="005A7213">
      <w:pPr>
        <w:spacing w:line="260" w:lineRule="atLeast"/>
      </w:pPr>
      <w:r w:rsidRPr="00996CFE">
        <w:t>The Australian Criminal Intelligence Commission (ACIC) National Wastewater Drug Monitoring Program (NWDMP)</w:t>
      </w:r>
      <w:r>
        <w:rPr>
          <w:b/>
        </w:rPr>
        <w:t xml:space="preserve"> </w:t>
      </w:r>
      <w:r>
        <w:t xml:space="preserve">arose from the National Ice Action Strategy. The project </w:t>
      </w:r>
      <w:r w:rsidR="00E84D38">
        <w:t>commenced in 2017</w:t>
      </w:r>
      <w:r w:rsidR="00AC1126">
        <w:t>, and funding was recently announced for a further four years analysis.</w:t>
      </w:r>
      <w:r w:rsidR="00E84D38">
        <w:t xml:space="preserve">  It </w:t>
      </w:r>
      <w:r>
        <w:t xml:space="preserve">monitors national consumption of selected substances of concern, with a specific focus on </w:t>
      </w:r>
      <w:r w:rsidR="00AC1126">
        <w:t xml:space="preserve">thirteen </w:t>
      </w:r>
      <w:r>
        <w:t>licit and illicit drugs,</w:t>
      </w:r>
      <w:r w:rsidRPr="00831B66">
        <w:t xml:space="preserve"> including nicotine, alcohol, </w:t>
      </w:r>
      <w:r w:rsidRPr="00413AC9">
        <w:t>oxycodone and fentanyl</w:t>
      </w:r>
      <w:r>
        <w:t>, crystal methamphetamine (‘Ice’)</w:t>
      </w:r>
      <w:r w:rsidRPr="00831B66">
        <w:t>,</w:t>
      </w:r>
      <w:r>
        <w:t xml:space="preserve"> </w:t>
      </w:r>
      <w:r w:rsidRPr="00831B66">
        <w:t>cocaine, MDMA (ecstasy)</w:t>
      </w:r>
      <w:r>
        <w:t>, MDA,</w:t>
      </w:r>
      <w:r w:rsidRPr="00831B66">
        <w:t xml:space="preserve"> </w:t>
      </w:r>
      <w:r w:rsidR="00AC1126">
        <w:t xml:space="preserve">cannabis </w:t>
      </w:r>
      <w:r>
        <w:t xml:space="preserve">and </w:t>
      </w:r>
      <w:r w:rsidRPr="00831B66">
        <w:t>heroin</w:t>
      </w:r>
      <w:r>
        <w:t xml:space="preserve">.  </w:t>
      </w:r>
      <w:r w:rsidR="00E84D38">
        <w:t xml:space="preserve">The most recent report was released in </w:t>
      </w:r>
      <w:r w:rsidR="00AC1126">
        <w:t xml:space="preserve">October </w:t>
      </w:r>
      <w:r w:rsidR="00E84D38">
        <w:t xml:space="preserve">2019 of sampling taken in </w:t>
      </w:r>
      <w:r w:rsidR="00AC1126">
        <w:t>February 2019</w:t>
      </w:r>
      <w:r w:rsidR="00E84D38">
        <w:t xml:space="preserve">. </w:t>
      </w:r>
    </w:p>
    <w:p w14:paraId="49B3114C" w14:textId="261E93C3" w:rsidR="007D2E3F" w:rsidRDefault="007D2E3F" w:rsidP="00E67C0E">
      <w:pPr>
        <w:spacing w:line="260" w:lineRule="atLeast"/>
        <w:jc w:val="both"/>
      </w:pPr>
      <w:r w:rsidRPr="00422128">
        <w:t>The Report</w:t>
      </w:r>
      <w:r>
        <w:t>s</w:t>
      </w:r>
      <w:r w:rsidRPr="00422128">
        <w:t xml:space="preserve"> </w:t>
      </w:r>
      <w:r w:rsidR="00E775F9">
        <w:t>(ACIC, 2019</w:t>
      </w:r>
      <w:r w:rsidR="001D6CC9">
        <w:t>a</w:t>
      </w:r>
      <w:r w:rsidR="00E775F9">
        <w:t xml:space="preserve">) </w:t>
      </w:r>
      <w:r w:rsidRPr="00422128">
        <w:t xml:space="preserve">include sampling from five Tasmanian sites – three Hobart sites (C) and two regional sites (R). Sites are not named in order to maintain confidentiality and avoid stigmatising any </w:t>
      </w:r>
      <w:proofErr w:type="gramStart"/>
      <w:r w:rsidRPr="00422128">
        <w:t>particular area</w:t>
      </w:r>
      <w:proofErr w:type="gramEnd"/>
      <w:r w:rsidRPr="00422128">
        <w:t xml:space="preserve">. </w:t>
      </w:r>
      <w:r>
        <w:t xml:space="preserve"> The most recent report shows for Tasmania:</w:t>
      </w:r>
    </w:p>
    <w:p w14:paraId="7922BA9A" w14:textId="07F6C0CF" w:rsidR="00C52F6E" w:rsidRDefault="005A7213" w:rsidP="008B3CB7">
      <w:pPr>
        <w:pStyle w:val="BulletedListLevel1"/>
        <w:numPr>
          <w:ilvl w:val="0"/>
          <w:numId w:val="54"/>
        </w:numPr>
        <w:tabs>
          <w:tab w:val="clear" w:pos="1134"/>
        </w:tabs>
        <w:spacing w:line="280" w:lineRule="atLeast"/>
        <w:ind w:left="425" w:hanging="425"/>
      </w:pPr>
      <w:r>
        <w:t>Tasmanian nicotine consumption in capital and regional sites are above the national average</w:t>
      </w:r>
      <w:r w:rsidR="00C52F6E">
        <w:t>s, but lower than Northern Territory city and regional sites and Queensland regional sites.</w:t>
      </w:r>
    </w:p>
    <w:p w14:paraId="3ABB9C7E" w14:textId="74797765" w:rsidR="005A7213" w:rsidRDefault="005A7213" w:rsidP="008B3CB7">
      <w:pPr>
        <w:pStyle w:val="BulletedListLevel1"/>
        <w:numPr>
          <w:ilvl w:val="0"/>
          <w:numId w:val="54"/>
        </w:numPr>
        <w:tabs>
          <w:tab w:val="clear" w:pos="1134"/>
        </w:tabs>
        <w:spacing w:line="280" w:lineRule="atLeast"/>
        <w:ind w:left="425" w:hanging="425"/>
      </w:pPr>
      <w:r>
        <w:t xml:space="preserve">For alcohol, the capital city rate is well above the national average, but the Tasmanian regional sites have dropped since the last report </w:t>
      </w:r>
      <w:r w:rsidR="00C52F6E">
        <w:t xml:space="preserve">compared </w:t>
      </w:r>
      <w:r>
        <w:t>to the regional average rate. ACIC has noted no weekend sampling in Tasmanian may cause underestimation.</w:t>
      </w:r>
    </w:p>
    <w:p w14:paraId="3531B9AC" w14:textId="7ABF61DF" w:rsidR="005A7213" w:rsidRDefault="005A7213" w:rsidP="008B3CB7">
      <w:pPr>
        <w:pStyle w:val="ListBullet"/>
        <w:numPr>
          <w:ilvl w:val="0"/>
          <w:numId w:val="12"/>
        </w:numPr>
        <w:tabs>
          <w:tab w:val="left" w:pos="1134"/>
        </w:tabs>
        <w:spacing w:line="280" w:lineRule="atLeast"/>
        <w:ind w:left="425" w:hanging="425"/>
        <w:rPr>
          <w:lang w:eastAsia="en-AU"/>
        </w:rPr>
      </w:pPr>
      <w:r>
        <w:rPr>
          <w:lang w:eastAsia="en-AU"/>
        </w:rPr>
        <w:t xml:space="preserve">Cannabis has been included since August 2018. A typical dose of cannabis is not well defined so is reported as mg THC (the psychoactive component of the cannabis plant) per 1 000 people per day. Tasmania reports the highest rates for capital city sites, although this has remained steady for the last </w:t>
      </w:r>
      <w:r>
        <w:rPr>
          <w:lang w:eastAsia="en-AU"/>
        </w:rPr>
        <w:lastRenderedPageBreak/>
        <w:t xml:space="preserve">three reports. Regional rates in Tasmania have dropped significantly and are now the second lowest behind </w:t>
      </w:r>
      <w:r w:rsidR="008B3CB7">
        <w:rPr>
          <w:lang w:eastAsia="en-AU"/>
        </w:rPr>
        <w:t>South Australian regional sites.</w:t>
      </w:r>
      <w:r>
        <w:rPr>
          <w:lang w:eastAsia="en-AU"/>
        </w:rPr>
        <w:t xml:space="preserve"> </w:t>
      </w:r>
    </w:p>
    <w:p w14:paraId="1B1AB422" w14:textId="7649C279" w:rsidR="002A6C60" w:rsidRDefault="002A6C60" w:rsidP="008B3CB7">
      <w:pPr>
        <w:pStyle w:val="ListBullet"/>
        <w:numPr>
          <w:ilvl w:val="0"/>
          <w:numId w:val="12"/>
        </w:numPr>
        <w:tabs>
          <w:tab w:val="left" w:pos="1134"/>
        </w:tabs>
        <w:spacing w:line="280" w:lineRule="atLeast"/>
        <w:ind w:left="425" w:hanging="425"/>
        <w:rPr>
          <w:lang w:eastAsia="en-AU"/>
        </w:rPr>
      </w:pPr>
      <w:r>
        <w:rPr>
          <w:lang w:eastAsia="en-AU"/>
        </w:rPr>
        <w:t>The figure below shows the drug consumption profile for Tasmania for methylamphetamine, cocaine, MDMA (ecstasy), oxycodone, fentanyl and heroin</w:t>
      </w:r>
      <w:r w:rsidR="00C52F6E">
        <w:rPr>
          <w:lang w:eastAsia="en-AU"/>
        </w:rPr>
        <w:t xml:space="preserve"> as number of doses per 1 000 people per day.  The circles represent the cumulative average across all time points for the respective drugs. </w:t>
      </w:r>
    </w:p>
    <w:p w14:paraId="6093C254" w14:textId="21498D7D" w:rsidR="002A6C60" w:rsidRDefault="002A6C60" w:rsidP="00C52F6E">
      <w:pPr>
        <w:pStyle w:val="ListBullet"/>
        <w:numPr>
          <w:ilvl w:val="0"/>
          <w:numId w:val="0"/>
        </w:numPr>
        <w:tabs>
          <w:tab w:val="clear" w:pos="567"/>
          <w:tab w:val="left" w:pos="1134"/>
        </w:tabs>
        <w:spacing w:line="280" w:lineRule="atLeast"/>
        <w:ind w:left="425"/>
        <w:rPr>
          <w:lang w:eastAsia="en-AU"/>
        </w:rPr>
      </w:pPr>
      <w:r>
        <w:rPr>
          <w:noProof/>
        </w:rPr>
        <w:drawing>
          <wp:inline distT="0" distB="0" distL="0" distR="0" wp14:anchorId="1DC5B0CE" wp14:editId="3BD27643">
            <wp:extent cx="6120130" cy="3551555"/>
            <wp:effectExtent l="0" t="0" r="0" b="0"/>
            <wp:docPr id="18" name="Picture 18" descr="Figure depicts drug consumption profile for Tasmania. detailed in below do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551555"/>
                    </a:xfrm>
                    <a:prstGeom prst="rect">
                      <a:avLst/>
                    </a:prstGeom>
                  </pic:spPr>
                </pic:pic>
              </a:graphicData>
            </a:graphic>
          </wp:inline>
        </w:drawing>
      </w:r>
    </w:p>
    <w:p w14:paraId="2D60A0BD" w14:textId="093B9995" w:rsidR="005A7213" w:rsidRDefault="005A7213" w:rsidP="008B3CB7">
      <w:pPr>
        <w:pStyle w:val="ListBullet"/>
        <w:numPr>
          <w:ilvl w:val="0"/>
          <w:numId w:val="54"/>
        </w:numPr>
        <w:spacing w:line="280" w:lineRule="atLeast"/>
        <w:ind w:left="425" w:hanging="425"/>
        <w:rPr>
          <w:lang w:eastAsia="en-AU"/>
        </w:rPr>
      </w:pPr>
      <w:r>
        <w:rPr>
          <w:lang w:eastAsia="en-AU"/>
        </w:rPr>
        <w:t>Methylamphetamine (including ‘ice’) continues to be the most consumed illicit drug tested in Australia. While the rates in Tasmania have historically been low, there has been a steady increase in both capital city and regional consumption since the April 2018 Report. The regional consumption remains below the national average of approximately 38 doses per 1 000 people per day, but the capital city site measure has gone above this for the first time, with a rate of approximately 40 doses</w:t>
      </w:r>
      <w:r w:rsidR="008B3CB7">
        <w:rPr>
          <w:lang w:eastAsia="en-AU"/>
        </w:rPr>
        <w:t xml:space="preserve"> per 1000 people per day</w:t>
      </w:r>
      <w:r>
        <w:rPr>
          <w:lang w:eastAsia="en-AU"/>
        </w:rPr>
        <w:t>.</w:t>
      </w:r>
    </w:p>
    <w:p w14:paraId="09B77C87" w14:textId="659096B7" w:rsidR="007D2E3F" w:rsidRPr="007C1EFB" w:rsidRDefault="007D2E3F" w:rsidP="008B3CB7">
      <w:pPr>
        <w:pStyle w:val="ListParagraph"/>
        <w:numPr>
          <w:ilvl w:val="0"/>
          <w:numId w:val="54"/>
        </w:numPr>
        <w:tabs>
          <w:tab w:val="left" w:pos="567"/>
        </w:tabs>
        <w:autoSpaceDE w:val="0"/>
        <w:autoSpaceDN w:val="0"/>
        <w:adjustRightInd w:val="0"/>
        <w:spacing w:before="0" w:after="140" w:line="280" w:lineRule="atLeast"/>
        <w:ind w:left="425" w:hanging="425"/>
        <w:contextualSpacing w:val="0"/>
        <w:jc w:val="left"/>
        <w:rPr>
          <w:rFonts w:ascii="Gill Sans MT" w:hAnsi="Gill Sans MT" w:cs="Calibri"/>
          <w:sz w:val="22"/>
        </w:rPr>
      </w:pPr>
      <w:bookmarkStart w:id="19" w:name="_Hlk19194726"/>
      <w:r w:rsidRPr="005A7213">
        <w:rPr>
          <w:rFonts w:ascii="Gill Sans MT" w:hAnsi="Gill Sans MT" w:cs="Calibri"/>
          <w:sz w:val="22"/>
        </w:rPr>
        <w:t>Tasmania had the highe</w:t>
      </w:r>
      <w:r w:rsidRPr="008B3CB7">
        <w:rPr>
          <w:rFonts w:ascii="Gill Sans MT" w:hAnsi="Gill Sans MT" w:cs="Calibri"/>
          <w:sz w:val="22"/>
        </w:rPr>
        <w:t xml:space="preserve">st estimated average capital city consumption of oxycodone, at around </w:t>
      </w:r>
      <w:r w:rsidR="002A6C60">
        <w:rPr>
          <w:rFonts w:ascii="Gill Sans MT" w:hAnsi="Gill Sans MT" w:cs="Calibri"/>
          <w:sz w:val="22"/>
        </w:rPr>
        <w:t>26</w:t>
      </w:r>
      <w:r w:rsidRPr="008B3CB7">
        <w:rPr>
          <w:rFonts w:ascii="Gill Sans MT" w:hAnsi="Gill Sans MT" w:cs="Calibri"/>
          <w:sz w:val="22"/>
        </w:rPr>
        <w:t xml:space="preserve"> doses per 1 000 people per day, compared to the national average for capital city site</w:t>
      </w:r>
      <w:r w:rsidR="002A6C60">
        <w:rPr>
          <w:rFonts w:ascii="Gill Sans MT" w:hAnsi="Gill Sans MT" w:cs="Calibri"/>
          <w:sz w:val="22"/>
        </w:rPr>
        <w:t>s</w:t>
      </w:r>
      <w:r w:rsidRPr="008B3CB7">
        <w:rPr>
          <w:rFonts w:ascii="Gill Sans MT" w:hAnsi="Gill Sans MT" w:cs="Calibri"/>
          <w:sz w:val="22"/>
        </w:rPr>
        <w:t xml:space="preserve"> of 4.5 do</w:t>
      </w:r>
      <w:r w:rsidR="002A6C60">
        <w:rPr>
          <w:rFonts w:ascii="Gill Sans MT" w:hAnsi="Gill Sans MT" w:cs="Calibri"/>
          <w:sz w:val="22"/>
        </w:rPr>
        <w:t>s</w:t>
      </w:r>
      <w:r w:rsidRPr="008B3CB7">
        <w:rPr>
          <w:rFonts w:ascii="Gill Sans MT" w:hAnsi="Gill Sans MT" w:cs="Calibri"/>
          <w:sz w:val="22"/>
        </w:rPr>
        <w:t>es per</w:t>
      </w:r>
      <w:r>
        <w:rPr>
          <w:rFonts w:ascii="Gill Sans MT" w:hAnsi="Gill Sans MT" w:cs="Calibri"/>
          <w:sz w:val="22"/>
        </w:rPr>
        <w:t xml:space="preserve"> 1 000 people per day.  </w:t>
      </w:r>
      <w:r w:rsidR="002A6C60">
        <w:rPr>
          <w:rFonts w:ascii="Gill Sans MT" w:hAnsi="Gill Sans MT" w:cs="Calibri"/>
          <w:sz w:val="22"/>
        </w:rPr>
        <w:t>This was significantly higher than previous reports.</w:t>
      </w:r>
    </w:p>
    <w:p w14:paraId="5F310E00" w14:textId="27645875" w:rsidR="007D2E3F" w:rsidRPr="007C1EFB" w:rsidRDefault="007D2E3F" w:rsidP="008B3CB7">
      <w:pPr>
        <w:pStyle w:val="ListParagraph"/>
        <w:numPr>
          <w:ilvl w:val="0"/>
          <w:numId w:val="54"/>
        </w:numPr>
        <w:tabs>
          <w:tab w:val="left" w:pos="567"/>
        </w:tabs>
        <w:autoSpaceDE w:val="0"/>
        <w:autoSpaceDN w:val="0"/>
        <w:adjustRightInd w:val="0"/>
        <w:spacing w:before="0" w:after="140" w:line="280" w:lineRule="atLeast"/>
        <w:ind w:left="425" w:hanging="425"/>
        <w:contextualSpacing w:val="0"/>
        <w:jc w:val="left"/>
        <w:rPr>
          <w:rFonts w:ascii="Gill Sans MT" w:hAnsi="Gill Sans MT" w:cs="Calibri"/>
          <w:sz w:val="22"/>
        </w:rPr>
      </w:pPr>
      <w:r w:rsidRPr="007C1EFB">
        <w:rPr>
          <w:rFonts w:ascii="Gill Sans MT" w:hAnsi="Gill Sans MT" w:cs="Calibri"/>
          <w:sz w:val="22"/>
        </w:rPr>
        <w:t>Tasmania</w:t>
      </w:r>
      <w:r w:rsidR="000C6D19">
        <w:rPr>
          <w:rFonts w:ascii="Gill Sans MT" w:hAnsi="Gill Sans MT" w:cs="Calibri"/>
          <w:sz w:val="22"/>
        </w:rPr>
        <w:t xml:space="preserve">’s </w:t>
      </w:r>
      <w:r w:rsidRPr="007C1EFB">
        <w:rPr>
          <w:rFonts w:ascii="Gill Sans MT" w:hAnsi="Gill Sans MT" w:cs="Calibri"/>
          <w:sz w:val="22"/>
        </w:rPr>
        <w:t>estimated average capital city consumption of fentanyl</w:t>
      </w:r>
      <w:r w:rsidR="000C6D19">
        <w:rPr>
          <w:rFonts w:ascii="Gill Sans MT" w:hAnsi="Gill Sans MT" w:cs="Calibri"/>
          <w:sz w:val="22"/>
        </w:rPr>
        <w:t xml:space="preserve"> whilst still marginally higher than the capitals average has dropped significantly over the last two reports.</w:t>
      </w:r>
    </w:p>
    <w:bookmarkEnd w:id="19"/>
    <w:p w14:paraId="74D7CA09" w14:textId="77777777" w:rsidR="00996CFE" w:rsidRPr="00FE2E1C" w:rsidRDefault="00996CFE" w:rsidP="00996CFE">
      <w:pPr>
        <w:pStyle w:val="Heading3"/>
        <w:rPr>
          <w:i/>
          <w:sz w:val="24"/>
          <w:szCs w:val="24"/>
        </w:rPr>
      </w:pPr>
      <w:r w:rsidRPr="00FE2E1C">
        <w:rPr>
          <w:sz w:val="24"/>
          <w:szCs w:val="24"/>
        </w:rPr>
        <w:t>Australia’s Annual Overdose Report 2019</w:t>
      </w:r>
      <w:r w:rsidRPr="00FE2E1C">
        <w:rPr>
          <w:i/>
          <w:sz w:val="24"/>
          <w:szCs w:val="24"/>
        </w:rPr>
        <w:t xml:space="preserve"> </w:t>
      </w:r>
    </w:p>
    <w:p w14:paraId="77F2F05C" w14:textId="78D740A4" w:rsidR="007D2E3F" w:rsidRPr="004134E3" w:rsidRDefault="007D2E3F" w:rsidP="00935578">
      <w:pPr>
        <w:pStyle w:val="ListBullet"/>
        <w:numPr>
          <w:ilvl w:val="0"/>
          <w:numId w:val="0"/>
        </w:numPr>
        <w:spacing w:line="260" w:lineRule="atLeast"/>
      </w:pPr>
      <w:r w:rsidRPr="004134E3">
        <w:t xml:space="preserve">The </w:t>
      </w:r>
      <w:proofErr w:type="spellStart"/>
      <w:r w:rsidRPr="004134E3">
        <w:t>Penington</w:t>
      </w:r>
      <w:proofErr w:type="spellEnd"/>
      <w:r w:rsidRPr="004134E3">
        <w:t xml:space="preserve"> Institute’s </w:t>
      </w:r>
      <w:r w:rsidRPr="00996CFE">
        <w:t>Australia’s Annual Overdose Report 2019</w:t>
      </w:r>
      <w:r w:rsidRPr="004134E3">
        <w:rPr>
          <w:i/>
        </w:rPr>
        <w:t xml:space="preserve"> </w:t>
      </w:r>
      <w:r w:rsidRPr="004134E3">
        <w:t>(</w:t>
      </w:r>
      <w:proofErr w:type="spellStart"/>
      <w:r w:rsidRPr="004134E3">
        <w:t>Penington</w:t>
      </w:r>
      <w:proofErr w:type="spellEnd"/>
      <w:r w:rsidRPr="004134E3">
        <w:t xml:space="preserve"> Institute 2019) show that unintentional drug-overdose deaths significantly increased across Australia between 2001 and 2017. The 2019 report profiles drug-induced</w:t>
      </w:r>
      <w:r>
        <w:rPr>
          <w:rStyle w:val="FootnoteReference"/>
        </w:rPr>
        <w:footnoteReference w:id="10"/>
      </w:r>
      <w:r w:rsidRPr="004134E3">
        <w:t xml:space="preserve"> overdose deaths trends in Australia based on Australian Bureau of Statistics (ABS) sourced coronial data and focuses primarily on comparing unintentional drug-induced deaths between two five-year periods (2003-2007 and 2013-2017). </w:t>
      </w:r>
    </w:p>
    <w:p w14:paraId="3DFBFBDF" w14:textId="77777777" w:rsidR="007D2E3F" w:rsidRPr="00820EA6" w:rsidRDefault="007D2E3F" w:rsidP="00FE2E1C">
      <w:pPr>
        <w:pStyle w:val="BulletedListLevel1"/>
        <w:keepLines/>
        <w:tabs>
          <w:tab w:val="clear" w:pos="567"/>
          <w:tab w:val="num" w:pos="1134"/>
        </w:tabs>
        <w:spacing w:line="260" w:lineRule="atLeast"/>
        <w:ind w:left="426" w:hanging="426"/>
      </w:pPr>
      <w:bookmarkStart w:id="20" w:name="_Hlk19194121"/>
      <w:r w:rsidRPr="00820EA6">
        <w:lastRenderedPageBreak/>
        <w:t>Tasmania experienced a much lower percentage increase in unintentional drug-induced deaths compared with the rest of Australia</w:t>
      </w:r>
      <w:r>
        <w:t xml:space="preserve">.  </w:t>
      </w:r>
      <w:r w:rsidRPr="00820EA6">
        <w:t>Between the periods of 2003-2007 and 2013-2017, the per capita increase in rate of deaths per capita in Tasmania for opioid-related unintentional deaths was 10</w:t>
      </w:r>
      <w:r>
        <w:t xml:space="preserve"> per cent</w:t>
      </w:r>
      <w:r w:rsidRPr="00820EA6">
        <w:t xml:space="preserve"> whilst the national percentage increase was 150</w:t>
      </w:r>
      <w:r>
        <w:t xml:space="preserve"> per cent</w:t>
      </w:r>
      <w:r w:rsidRPr="00820EA6">
        <w:t>; and the rate of deaths per capita in Tasmania for benzodiazepines-related unintentional deaths did not significantly change whilst the national percentage increase was 15</w:t>
      </w:r>
      <w:r>
        <w:t>0 per cent.</w:t>
      </w:r>
    </w:p>
    <w:bookmarkEnd w:id="20"/>
    <w:p w14:paraId="06FA7CFF" w14:textId="77777777" w:rsidR="007D2E3F" w:rsidRDefault="007D2E3F" w:rsidP="00F45B81">
      <w:pPr>
        <w:pStyle w:val="BulletedListLevel1"/>
        <w:numPr>
          <w:ilvl w:val="0"/>
          <w:numId w:val="0"/>
        </w:numPr>
        <w:tabs>
          <w:tab w:val="num" w:pos="1134"/>
        </w:tabs>
        <w:spacing w:line="260" w:lineRule="atLeast"/>
        <w:ind w:left="426"/>
      </w:pPr>
      <w:r w:rsidRPr="00386F2C">
        <w:t>Unintentional Drug-Induced Deaths</w:t>
      </w:r>
      <w:r>
        <w:t>: All Drug Groups Included in Report</w:t>
      </w:r>
      <w:r w:rsidRPr="00386F2C">
        <w:t xml:space="preserve"> </w:t>
      </w:r>
    </w:p>
    <w:tbl>
      <w:tblPr>
        <w:tblW w:w="5000" w:type="pct"/>
        <w:tblLook w:val="04A0" w:firstRow="1" w:lastRow="0" w:firstColumn="1" w:lastColumn="0" w:noHBand="0" w:noVBand="1"/>
      </w:tblPr>
      <w:tblGrid>
        <w:gridCol w:w="2458"/>
        <w:gridCol w:w="980"/>
        <w:gridCol w:w="980"/>
        <w:gridCol w:w="1012"/>
        <w:gridCol w:w="1012"/>
        <w:gridCol w:w="1588"/>
        <w:gridCol w:w="1588"/>
      </w:tblGrid>
      <w:tr w:rsidR="00120503" w:rsidRPr="00CD59CD" w14:paraId="553D4AE6" w14:textId="77777777" w:rsidTr="00120503">
        <w:trPr>
          <w:trHeight w:val="292"/>
          <w:tblHeader/>
        </w:trPr>
        <w:tc>
          <w:tcPr>
            <w:tcW w:w="1278" w:type="pct"/>
            <w:tcBorders>
              <w:top w:val="single" w:sz="4" w:space="0" w:color="auto"/>
              <w:left w:val="single" w:sz="8" w:space="0" w:color="auto"/>
              <w:bottom w:val="single" w:sz="4" w:space="0" w:color="auto"/>
              <w:right w:val="single" w:sz="4" w:space="0" w:color="auto"/>
            </w:tcBorders>
            <w:shd w:val="clear" w:color="DDEBF7" w:fill="DDEBF7"/>
            <w:noWrap/>
            <w:vAlign w:val="bottom"/>
            <w:hideMark/>
          </w:tcPr>
          <w:p w14:paraId="451BDF29" w14:textId="77777777" w:rsidR="007D2E3F" w:rsidRPr="00650EE6" w:rsidRDefault="007D2E3F" w:rsidP="007D2E3F">
            <w:pPr>
              <w:spacing w:after="0" w:line="240" w:lineRule="auto"/>
              <w:rPr>
                <w:b/>
                <w:bCs/>
                <w:color w:val="000000"/>
                <w:sz w:val="20"/>
                <w:szCs w:val="20"/>
              </w:rPr>
            </w:pPr>
            <w:r w:rsidRPr="00650EE6">
              <w:rPr>
                <w:b/>
                <w:bCs/>
                <w:color w:val="000000"/>
                <w:sz w:val="20"/>
                <w:szCs w:val="20"/>
              </w:rPr>
              <w:t>Drug Group</w:t>
            </w:r>
          </w:p>
        </w:tc>
        <w:tc>
          <w:tcPr>
            <w:tcW w:w="50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085D845" w14:textId="6E8EB143" w:rsidR="00120503" w:rsidRPr="00120503" w:rsidRDefault="00120503" w:rsidP="007D2E3F">
            <w:pPr>
              <w:spacing w:after="0" w:line="240" w:lineRule="auto"/>
              <w:rPr>
                <w:b/>
                <w:bCs/>
                <w:color w:val="000000"/>
                <w:sz w:val="16"/>
                <w:szCs w:val="16"/>
              </w:rPr>
            </w:pPr>
            <w:r w:rsidRPr="00120503">
              <w:rPr>
                <w:b/>
                <w:bCs/>
                <w:color w:val="000000"/>
                <w:sz w:val="16"/>
                <w:szCs w:val="16"/>
              </w:rPr>
              <w:t>Australia (n)</w:t>
            </w:r>
          </w:p>
          <w:p w14:paraId="594CFD50" w14:textId="34C83AD5" w:rsidR="007D2E3F" w:rsidRPr="00650EE6" w:rsidRDefault="007D2E3F" w:rsidP="007D2E3F">
            <w:pPr>
              <w:spacing w:after="0" w:line="240" w:lineRule="auto"/>
              <w:rPr>
                <w:b/>
                <w:bCs/>
                <w:color w:val="000000"/>
                <w:sz w:val="20"/>
                <w:szCs w:val="20"/>
              </w:rPr>
            </w:pPr>
            <w:r w:rsidRPr="00650EE6">
              <w:rPr>
                <w:b/>
                <w:bCs/>
                <w:color w:val="000000"/>
                <w:sz w:val="20"/>
                <w:szCs w:val="20"/>
              </w:rPr>
              <w:t>2003-2007</w:t>
            </w:r>
          </w:p>
        </w:tc>
        <w:tc>
          <w:tcPr>
            <w:tcW w:w="50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AF6173" w14:textId="22D8B1C1" w:rsidR="00120503" w:rsidRPr="00120503" w:rsidRDefault="00120503" w:rsidP="007D2E3F">
            <w:pPr>
              <w:spacing w:after="0" w:line="240" w:lineRule="auto"/>
              <w:rPr>
                <w:b/>
                <w:bCs/>
                <w:color w:val="000000"/>
                <w:sz w:val="16"/>
                <w:szCs w:val="16"/>
              </w:rPr>
            </w:pPr>
            <w:r w:rsidRPr="00120503">
              <w:rPr>
                <w:b/>
                <w:bCs/>
                <w:color w:val="000000"/>
                <w:sz w:val="16"/>
                <w:szCs w:val="16"/>
              </w:rPr>
              <w:t>Australia (n)</w:t>
            </w:r>
          </w:p>
          <w:p w14:paraId="799EC299" w14:textId="73335777" w:rsidR="007D2E3F" w:rsidRPr="00650EE6" w:rsidRDefault="007D2E3F" w:rsidP="007D2E3F">
            <w:pPr>
              <w:spacing w:after="0" w:line="240" w:lineRule="auto"/>
              <w:rPr>
                <w:b/>
                <w:bCs/>
                <w:color w:val="000000"/>
                <w:sz w:val="20"/>
                <w:szCs w:val="20"/>
              </w:rPr>
            </w:pPr>
            <w:r w:rsidRPr="00650EE6">
              <w:rPr>
                <w:b/>
                <w:bCs/>
                <w:color w:val="000000"/>
                <w:sz w:val="20"/>
                <w:szCs w:val="20"/>
              </w:rPr>
              <w:t>2013-2017</w:t>
            </w:r>
          </w:p>
        </w:tc>
        <w:tc>
          <w:tcPr>
            <w:tcW w:w="52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1329A6A" w14:textId="57565921" w:rsidR="00120503" w:rsidRPr="00120503" w:rsidRDefault="00120503" w:rsidP="007D2E3F">
            <w:pPr>
              <w:spacing w:after="0" w:line="240" w:lineRule="auto"/>
              <w:rPr>
                <w:b/>
                <w:bCs/>
                <w:color w:val="000000"/>
                <w:sz w:val="16"/>
                <w:szCs w:val="16"/>
              </w:rPr>
            </w:pPr>
            <w:r w:rsidRPr="00120503">
              <w:rPr>
                <w:b/>
                <w:bCs/>
                <w:color w:val="000000"/>
                <w:sz w:val="16"/>
                <w:szCs w:val="16"/>
              </w:rPr>
              <w:t>Tasmania (n)</w:t>
            </w:r>
          </w:p>
          <w:p w14:paraId="5A9C4DEF" w14:textId="6E280AC8" w:rsidR="007D2E3F" w:rsidRPr="00650EE6" w:rsidRDefault="007D2E3F" w:rsidP="007D2E3F">
            <w:pPr>
              <w:spacing w:after="0" w:line="240" w:lineRule="auto"/>
              <w:rPr>
                <w:b/>
                <w:bCs/>
                <w:color w:val="000000"/>
                <w:sz w:val="20"/>
                <w:szCs w:val="20"/>
              </w:rPr>
            </w:pPr>
            <w:r w:rsidRPr="00650EE6">
              <w:rPr>
                <w:b/>
                <w:bCs/>
                <w:color w:val="000000"/>
                <w:sz w:val="20"/>
                <w:szCs w:val="20"/>
              </w:rPr>
              <w:t>2003-2007</w:t>
            </w:r>
          </w:p>
        </w:tc>
        <w:tc>
          <w:tcPr>
            <w:tcW w:w="52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F87D0E" w14:textId="5B12EC99" w:rsidR="00120503" w:rsidRPr="00120503" w:rsidRDefault="00120503" w:rsidP="007D2E3F">
            <w:pPr>
              <w:spacing w:after="0" w:line="240" w:lineRule="auto"/>
              <w:rPr>
                <w:b/>
                <w:bCs/>
                <w:color w:val="000000"/>
                <w:sz w:val="16"/>
                <w:szCs w:val="16"/>
              </w:rPr>
            </w:pPr>
            <w:r w:rsidRPr="00120503">
              <w:rPr>
                <w:b/>
                <w:bCs/>
                <w:color w:val="000000"/>
                <w:sz w:val="16"/>
                <w:szCs w:val="16"/>
              </w:rPr>
              <w:t>Tasmania (n)</w:t>
            </w:r>
          </w:p>
          <w:p w14:paraId="3966A876" w14:textId="26A6257A" w:rsidR="007D2E3F" w:rsidRPr="00650EE6" w:rsidRDefault="007D2E3F" w:rsidP="007D2E3F">
            <w:pPr>
              <w:spacing w:after="0" w:line="240" w:lineRule="auto"/>
              <w:rPr>
                <w:b/>
                <w:bCs/>
                <w:color w:val="000000"/>
                <w:sz w:val="20"/>
                <w:szCs w:val="20"/>
              </w:rPr>
            </w:pPr>
            <w:r w:rsidRPr="00650EE6">
              <w:rPr>
                <w:b/>
                <w:bCs/>
                <w:color w:val="000000"/>
                <w:sz w:val="20"/>
                <w:szCs w:val="20"/>
              </w:rPr>
              <w:t>2013-2017</w:t>
            </w:r>
          </w:p>
        </w:tc>
        <w:tc>
          <w:tcPr>
            <w:tcW w:w="82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6CB5800" w14:textId="17D2954D" w:rsidR="00120503" w:rsidRDefault="00120503" w:rsidP="007D2E3F">
            <w:pPr>
              <w:spacing w:after="0" w:line="240" w:lineRule="auto"/>
              <w:rPr>
                <w:b/>
                <w:bCs/>
                <w:color w:val="000000"/>
                <w:sz w:val="16"/>
                <w:szCs w:val="16"/>
              </w:rPr>
            </w:pPr>
            <w:r>
              <w:rPr>
                <w:b/>
                <w:bCs/>
                <w:color w:val="000000"/>
                <w:sz w:val="16"/>
                <w:szCs w:val="16"/>
              </w:rPr>
              <w:t>Increase per capita (%)</w:t>
            </w:r>
          </w:p>
          <w:p w14:paraId="04B663EC" w14:textId="77777777" w:rsidR="00120503" w:rsidRPr="00120503" w:rsidRDefault="00120503" w:rsidP="007D2E3F">
            <w:pPr>
              <w:spacing w:after="0" w:line="240" w:lineRule="auto"/>
              <w:rPr>
                <w:b/>
                <w:bCs/>
                <w:color w:val="000000"/>
                <w:sz w:val="16"/>
                <w:szCs w:val="16"/>
              </w:rPr>
            </w:pPr>
          </w:p>
          <w:p w14:paraId="32597A27" w14:textId="58EAE7CC" w:rsidR="007D2E3F" w:rsidRPr="00650EE6" w:rsidRDefault="007D2E3F" w:rsidP="007D2E3F">
            <w:pPr>
              <w:spacing w:after="0" w:line="240" w:lineRule="auto"/>
              <w:rPr>
                <w:b/>
                <w:bCs/>
                <w:color w:val="000000"/>
                <w:sz w:val="20"/>
                <w:szCs w:val="20"/>
              </w:rPr>
            </w:pPr>
            <w:r w:rsidRPr="00650EE6">
              <w:rPr>
                <w:b/>
                <w:bCs/>
                <w:color w:val="000000"/>
                <w:sz w:val="20"/>
                <w:szCs w:val="20"/>
              </w:rPr>
              <w:t>Australia</w:t>
            </w:r>
          </w:p>
        </w:tc>
        <w:tc>
          <w:tcPr>
            <w:tcW w:w="826" w:type="pct"/>
            <w:tcBorders>
              <w:top w:val="single" w:sz="4" w:space="0" w:color="auto"/>
              <w:left w:val="single" w:sz="4" w:space="0" w:color="auto"/>
              <w:bottom w:val="single" w:sz="4" w:space="0" w:color="auto"/>
              <w:right w:val="single" w:sz="8" w:space="0" w:color="auto"/>
            </w:tcBorders>
            <w:shd w:val="clear" w:color="DDEBF7" w:fill="DDEBF7"/>
            <w:noWrap/>
            <w:vAlign w:val="bottom"/>
            <w:hideMark/>
          </w:tcPr>
          <w:p w14:paraId="4CB6B1DF" w14:textId="77777777" w:rsidR="00120503" w:rsidRPr="00120503" w:rsidRDefault="00120503" w:rsidP="00120503">
            <w:pPr>
              <w:spacing w:after="0" w:line="240" w:lineRule="auto"/>
              <w:rPr>
                <w:b/>
                <w:bCs/>
                <w:color w:val="000000"/>
                <w:sz w:val="16"/>
                <w:szCs w:val="16"/>
              </w:rPr>
            </w:pPr>
            <w:r>
              <w:rPr>
                <w:b/>
                <w:bCs/>
                <w:color w:val="000000"/>
                <w:sz w:val="16"/>
                <w:szCs w:val="16"/>
              </w:rPr>
              <w:t>Increase per capita (%)</w:t>
            </w:r>
          </w:p>
          <w:p w14:paraId="68778859" w14:textId="77777777" w:rsidR="00120503" w:rsidRDefault="00120503" w:rsidP="007D2E3F">
            <w:pPr>
              <w:spacing w:after="0" w:line="240" w:lineRule="auto"/>
              <w:rPr>
                <w:b/>
                <w:bCs/>
                <w:color w:val="000000"/>
                <w:sz w:val="20"/>
                <w:szCs w:val="20"/>
              </w:rPr>
            </w:pPr>
          </w:p>
          <w:p w14:paraId="2DB0085B" w14:textId="4C0EA25C" w:rsidR="007D2E3F" w:rsidRPr="00650EE6" w:rsidRDefault="007D2E3F" w:rsidP="007D2E3F">
            <w:pPr>
              <w:spacing w:after="0" w:line="240" w:lineRule="auto"/>
              <w:rPr>
                <w:b/>
                <w:bCs/>
                <w:color w:val="000000"/>
                <w:sz w:val="20"/>
                <w:szCs w:val="20"/>
              </w:rPr>
            </w:pPr>
            <w:r w:rsidRPr="00650EE6">
              <w:rPr>
                <w:b/>
                <w:bCs/>
                <w:color w:val="000000"/>
                <w:sz w:val="20"/>
                <w:szCs w:val="20"/>
              </w:rPr>
              <w:t>Tasmania</w:t>
            </w:r>
          </w:p>
        </w:tc>
      </w:tr>
      <w:tr w:rsidR="00120503" w:rsidRPr="00CD59CD" w14:paraId="3ED3CD3A" w14:textId="77777777" w:rsidTr="00120503">
        <w:trPr>
          <w:trHeight w:val="292"/>
        </w:trPr>
        <w:tc>
          <w:tcPr>
            <w:tcW w:w="127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B6F2A1B" w14:textId="77777777" w:rsidR="007D2E3F" w:rsidRPr="00650EE6" w:rsidRDefault="007D2E3F" w:rsidP="007D2E3F">
            <w:pPr>
              <w:spacing w:after="0" w:line="240" w:lineRule="auto"/>
              <w:rPr>
                <w:bCs/>
                <w:color w:val="FFFFFF"/>
                <w:sz w:val="20"/>
                <w:szCs w:val="20"/>
              </w:rPr>
            </w:pPr>
            <w:r w:rsidRPr="00650EE6">
              <w:rPr>
                <w:bCs/>
                <w:sz w:val="20"/>
                <w:szCs w:val="20"/>
              </w:rPr>
              <w:t>Benzodiazepines</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F0B66" w14:textId="77777777" w:rsidR="007D2E3F" w:rsidRPr="00650EE6" w:rsidRDefault="007D2E3F" w:rsidP="007D2E3F">
            <w:pPr>
              <w:spacing w:after="0" w:line="240" w:lineRule="auto"/>
              <w:rPr>
                <w:color w:val="000000"/>
                <w:sz w:val="20"/>
                <w:szCs w:val="20"/>
              </w:rPr>
            </w:pPr>
            <w:r w:rsidRPr="00650EE6">
              <w:rPr>
                <w:color w:val="000000"/>
                <w:sz w:val="20"/>
                <w:szCs w:val="20"/>
              </w:rPr>
              <w:t>858</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52DBB" w14:textId="77777777" w:rsidR="007D2E3F" w:rsidRPr="00650EE6" w:rsidRDefault="007D2E3F" w:rsidP="007D2E3F">
            <w:pPr>
              <w:spacing w:after="0" w:line="240" w:lineRule="auto"/>
              <w:rPr>
                <w:color w:val="000000"/>
                <w:sz w:val="20"/>
                <w:szCs w:val="20"/>
              </w:rPr>
            </w:pPr>
            <w:r w:rsidRPr="00650EE6">
              <w:rPr>
                <w:color w:val="000000"/>
                <w:sz w:val="20"/>
                <w:szCs w:val="20"/>
              </w:rPr>
              <w:t>2466</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84B6F" w14:textId="77777777" w:rsidR="007D2E3F" w:rsidRPr="00650EE6" w:rsidRDefault="007D2E3F" w:rsidP="007D2E3F">
            <w:pPr>
              <w:spacing w:after="0" w:line="240" w:lineRule="auto"/>
              <w:rPr>
                <w:color w:val="000000"/>
                <w:sz w:val="20"/>
                <w:szCs w:val="20"/>
              </w:rPr>
            </w:pPr>
            <w:r w:rsidRPr="00650EE6">
              <w:rPr>
                <w:color w:val="000000"/>
                <w:sz w:val="20"/>
                <w:szCs w:val="20"/>
              </w:rPr>
              <w:t>47</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29566" w14:textId="77777777" w:rsidR="007D2E3F" w:rsidRPr="00650EE6" w:rsidRDefault="007D2E3F" w:rsidP="007D2E3F">
            <w:pPr>
              <w:spacing w:after="0" w:line="240" w:lineRule="auto"/>
              <w:rPr>
                <w:color w:val="000000"/>
                <w:sz w:val="20"/>
                <w:szCs w:val="20"/>
              </w:rPr>
            </w:pPr>
            <w:r w:rsidRPr="00650EE6">
              <w:rPr>
                <w:color w:val="000000"/>
                <w:sz w:val="20"/>
                <w:szCs w:val="20"/>
              </w:rPr>
              <w:t>49</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A4D1C" w14:textId="77777777" w:rsidR="007D2E3F" w:rsidRPr="00650EE6" w:rsidRDefault="007D2E3F" w:rsidP="007D2E3F">
            <w:pPr>
              <w:spacing w:after="0" w:line="240" w:lineRule="auto"/>
              <w:rPr>
                <w:color w:val="000000"/>
                <w:sz w:val="20"/>
                <w:szCs w:val="20"/>
              </w:rPr>
            </w:pPr>
            <w:r>
              <w:rPr>
                <w:color w:val="000000"/>
                <w:sz w:val="20"/>
                <w:szCs w:val="20"/>
              </w:rPr>
              <w:t>150</w:t>
            </w:r>
          </w:p>
        </w:tc>
        <w:tc>
          <w:tcPr>
            <w:tcW w:w="826"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4DD09F5" w14:textId="77777777" w:rsidR="007D2E3F" w:rsidRPr="00650EE6" w:rsidRDefault="007D2E3F" w:rsidP="007D2E3F">
            <w:pPr>
              <w:spacing w:after="0" w:line="240" w:lineRule="auto"/>
              <w:rPr>
                <w:color w:val="000000"/>
                <w:sz w:val="20"/>
                <w:szCs w:val="20"/>
              </w:rPr>
            </w:pPr>
            <w:r>
              <w:rPr>
                <w:color w:val="000000"/>
                <w:sz w:val="20"/>
                <w:szCs w:val="20"/>
              </w:rPr>
              <w:t>0</w:t>
            </w:r>
          </w:p>
        </w:tc>
      </w:tr>
      <w:tr w:rsidR="00120503" w:rsidRPr="00CD59CD" w14:paraId="3C0F4685" w14:textId="77777777" w:rsidTr="00120503">
        <w:trPr>
          <w:trHeight w:val="292"/>
        </w:trPr>
        <w:tc>
          <w:tcPr>
            <w:tcW w:w="1278" w:type="pct"/>
            <w:tcBorders>
              <w:top w:val="single" w:sz="4" w:space="0" w:color="auto"/>
              <w:left w:val="single" w:sz="8" w:space="0" w:color="auto"/>
              <w:bottom w:val="single" w:sz="4" w:space="0" w:color="auto"/>
              <w:right w:val="single" w:sz="4" w:space="0" w:color="auto"/>
            </w:tcBorders>
            <w:shd w:val="clear" w:color="auto" w:fill="DBE5F1" w:themeFill="accent1" w:themeFillTint="33"/>
            <w:noWrap/>
            <w:vAlign w:val="bottom"/>
            <w:hideMark/>
          </w:tcPr>
          <w:p w14:paraId="5E750003" w14:textId="77777777" w:rsidR="007D2E3F" w:rsidRPr="00650EE6" w:rsidRDefault="007D2E3F" w:rsidP="007D2E3F">
            <w:pPr>
              <w:spacing w:after="0" w:line="240" w:lineRule="auto"/>
              <w:rPr>
                <w:color w:val="000000"/>
                <w:sz w:val="20"/>
                <w:szCs w:val="20"/>
              </w:rPr>
            </w:pPr>
            <w:r w:rsidRPr="00650EE6">
              <w:rPr>
                <w:color w:val="000000"/>
                <w:sz w:val="20"/>
                <w:szCs w:val="20"/>
              </w:rPr>
              <w:t>Pharmaceutical Opioids</w:t>
            </w:r>
          </w:p>
        </w:tc>
        <w:tc>
          <w:tcPr>
            <w:tcW w:w="50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98E5A0B" w14:textId="77777777" w:rsidR="007D2E3F" w:rsidRPr="00650EE6" w:rsidRDefault="007D2E3F" w:rsidP="007D2E3F">
            <w:pPr>
              <w:spacing w:after="0" w:line="240" w:lineRule="auto"/>
              <w:rPr>
                <w:color w:val="000000"/>
                <w:sz w:val="20"/>
                <w:szCs w:val="20"/>
              </w:rPr>
            </w:pPr>
            <w:r w:rsidRPr="00650EE6">
              <w:rPr>
                <w:color w:val="000000"/>
                <w:sz w:val="20"/>
                <w:szCs w:val="20"/>
              </w:rPr>
              <w:t>864</w:t>
            </w:r>
          </w:p>
        </w:tc>
        <w:tc>
          <w:tcPr>
            <w:tcW w:w="509"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521217F" w14:textId="77777777" w:rsidR="007D2E3F" w:rsidRPr="00650EE6" w:rsidRDefault="007D2E3F" w:rsidP="007D2E3F">
            <w:pPr>
              <w:spacing w:after="0" w:line="240" w:lineRule="auto"/>
              <w:rPr>
                <w:color w:val="000000"/>
                <w:sz w:val="20"/>
                <w:szCs w:val="20"/>
              </w:rPr>
            </w:pPr>
            <w:r w:rsidRPr="00650EE6">
              <w:rPr>
                <w:color w:val="000000"/>
                <w:sz w:val="20"/>
                <w:szCs w:val="20"/>
              </w:rPr>
              <w:t>2521</w:t>
            </w:r>
          </w:p>
        </w:tc>
        <w:tc>
          <w:tcPr>
            <w:tcW w:w="52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30F0C9C" w14:textId="77777777" w:rsidR="007D2E3F" w:rsidRPr="00650EE6" w:rsidRDefault="007D2E3F" w:rsidP="007D2E3F">
            <w:pPr>
              <w:spacing w:after="0" w:line="240" w:lineRule="auto"/>
              <w:rPr>
                <w:color w:val="000000"/>
                <w:sz w:val="20"/>
                <w:szCs w:val="20"/>
              </w:rPr>
            </w:pPr>
            <w:r w:rsidRPr="00650EE6">
              <w:rPr>
                <w:color w:val="000000"/>
                <w:sz w:val="20"/>
                <w:szCs w:val="20"/>
              </w:rPr>
              <w:t>32</w:t>
            </w:r>
          </w:p>
        </w:tc>
        <w:tc>
          <w:tcPr>
            <w:tcW w:w="52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3637FBC" w14:textId="77777777" w:rsidR="007D2E3F" w:rsidRPr="00650EE6" w:rsidRDefault="007D2E3F" w:rsidP="007D2E3F">
            <w:pPr>
              <w:spacing w:after="0" w:line="240" w:lineRule="auto"/>
              <w:rPr>
                <w:color w:val="000000"/>
                <w:sz w:val="20"/>
                <w:szCs w:val="20"/>
              </w:rPr>
            </w:pPr>
            <w:r w:rsidRPr="00650EE6">
              <w:rPr>
                <w:color w:val="000000"/>
                <w:sz w:val="20"/>
                <w:szCs w:val="20"/>
              </w:rPr>
              <w:t>37</w:t>
            </w:r>
          </w:p>
        </w:tc>
        <w:tc>
          <w:tcPr>
            <w:tcW w:w="826"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B281893" w14:textId="77777777" w:rsidR="007D2E3F" w:rsidRPr="00650EE6" w:rsidRDefault="007D2E3F" w:rsidP="007D2E3F">
            <w:pPr>
              <w:spacing w:after="0" w:line="240" w:lineRule="auto"/>
              <w:rPr>
                <w:color w:val="000000"/>
                <w:sz w:val="20"/>
                <w:szCs w:val="20"/>
              </w:rPr>
            </w:pPr>
            <w:r>
              <w:rPr>
                <w:color w:val="000000"/>
                <w:sz w:val="20"/>
                <w:szCs w:val="20"/>
              </w:rPr>
              <w:t>150</w:t>
            </w:r>
          </w:p>
        </w:tc>
        <w:tc>
          <w:tcPr>
            <w:tcW w:w="826" w:type="pct"/>
            <w:tcBorders>
              <w:top w:val="single" w:sz="4" w:space="0" w:color="auto"/>
              <w:left w:val="single" w:sz="4" w:space="0" w:color="auto"/>
              <w:bottom w:val="single" w:sz="4" w:space="0" w:color="auto"/>
              <w:right w:val="single" w:sz="8" w:space="0" w:color="auto"/>
            </w:tcBorders>
            <w:shd w:val="clear" w:color="auto" w:fill="DBE5F1" w:themeFill="accent1" w:themeFillTint="33"/>
            <w:noWrap/>
            <w:vAlign w:val="bottom"/>
            <w:hideMark/>
          </w:tcPr>
          <w:p w14:paraId="2C43B1F8" w14:textId="77777777" w:rsidR="007D2E3F" w:rsidRPr="00650EE6" w:rsidRDefault="007D2E3F" w:rsidP="007D2E3F">
            <w:pPr>
              <w:spacing w:after="0" w:line="240" w:lineRule="auto"/>
              <w:rPr>
                <w:color w:val="000000"/>
                <w:sz w:val="20"/>
                <w:szCs w:val="20"/>
              </w:rPr>
            </w:pPr>
            <w:r>
              <w:rPr>
                <w:color w:val="000000"/>
                <w:sz w:val="20"/>
                <w:szCs w:val="20"/>
              </w:rPr>
              <w:t>10</w:t>
            </w:r>
          </w:p>
        </w:tc>
      </w:tr>
      <w:tr w:rsidR="00120503" w:rsidRPr="00CD59CD" w14:paraId="003D6435" w14:textId="77777777" w:rsidTr="00120503">
        <w:trPr>
          <w:trHeight w:val="292"/>
        </w:trPr>
        <w:tc>
          <w:tcPr>
            <w:tcW w:w="1278" w:type="pct"/>
            <w:tcBorders>
              <w:top w:val="single" w:sz="4" w:space="0" w:color="auto"/>
              <w:left w:val="single" w:sz="8" w:space="0" w:color="auto"/>
              <w:bottom w:val="single" w:sz="4" w:space="0" w:color="auto"/>
              <w:right w:val="single" w:sz="4" w:space="0" w:color="auto"/>
            </w:tcBorders>
            <w:shd w:val="clear" w:color="auto" w:fill="auto"/>
            <w:noWrap/>
            <w:vAlign w:val="bottom"/>
          </w:tcPr>
          <w:p w14:paraId="31112479" w14:textId="77777777" w:rsidR="007D2E3F" w:rsidRPr="00650EE6" w:rsidRDefault="007D2E3F" w:rsidP="007D2E3F">
            <w:pPr>
              <w:spacing w:after="0" w:line="240" w:lineRule="auto"/>
              <w:rPr>
                <w:color w:val="000000"/>
                <w:sz w:val="20"/>
                <w:szCs w:val="20"/>
              </w:rPr>
            </w:pPr>
            <w:r w:rsidRPr="00650EE6">
              <w:rPr>
                <w:color w:val="000000"/>
                <w:sz w:val="20"/>
                <w:szCs w:val="20"/>
              </w:rPr>
              <w:t>Stimulants (including MDMA, ‘ice’)</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B10CB9" w14:textId="77777777" w:rsidR="007D2E3F" w:rsidRPr="00650EE6" w:rsidRDefault="007D2E3F" w:rsidP="007D2E3F">
            <w:pPr>
              <w:spacing w:after="0" w:line="240" w:lineRule="auto"/>
              <w:rPr>
                <w:color w:val="000000"/>
                <w:sz w:val="20"/>
                <w:szCs w:val="20"/>
              </w:rPr>
            </w:pPr>
            <w:r w:rsidRPr="00650EE6">
              <w:rPr>
                <w:color w:val="000000"/>
                <w:sz w:val="20"/>
                <w:szCs w:val="20"/>
              </w:rPr>
              <w:t>325</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41FC16" w14:textId="77777777" w:rsidR="007D2E3F" w:rsidRPr="00650EE6" w:rsidRDefault="007D2E3F" w:rsidP="007D2E3F">
            <w:pPr>
              <w:spacing w:after="0" w:line="240" w:lineRule="auto"/>
              <w:rPr>
                <w:color w:val="000000"/>
                <w:sz w:val="20"/>
                <w:szCs w:val="20"/>
              </w:rPr>
            </w:pPr>
            <w:r w:rsidRPr="00650EE6">
              <w:rPr>
                <w:color w:val="000000"/>
                <w:sz w:val="20"/>
                <w:szCs w:val="20"/>
              </w:rPr>
              <w:t>1583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709A9B" w14:textId="77777777" w:rsidR="007D2E3F" w:rsidRPr="00650EE6" w:rsidRDefault="007D2E3F" w:rsidP="007D2E3F">
            <w:pPr>
              <w:spacing w:after="0" w:line="240" w:lineRule="auto"/>
              <w:rPr>
                <w:color w:val="000000"/>
                <w:sz w:val="20"/>
                <w:szCs w:val="20"/>
              </w:rPr>
            </w:pPr>
            <w:r w:rsidRPr="00650EE6">
              <w:rPr>
                <w:color w:val="000000"/>
                <w:sz w:val="20"/>
                <w:szCs w:val="20"/>
              </w:rPr>
              <w:t>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E7F225" w14:textId="77777777" w:rsidR="007D2E3F" w:rsidRPr="00650EE6" w:rsidRDefault="007D2E3F" w:rsidP="007D2E3F">
            <w:pPr>
              <w:spacing w:after="0" w:line="240" w:lineRule="auto"/>
              <w:rPr>
                <w:color w:val="000000"/>
                <w:sz w:val="20"/>
                <w:szCs w:val="20"/>
              </w:rPr>
            </w:pPr>
            <w:r w:rsidRPr="00650EE6">
              <w:rPr>
                <w:color w:val="000000"/>
                <w:sz w:val="20"/>
                <w:szCs w:val="20"/>
              </w:rPr>
              <w:t>23</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413402" w14:textId="77777777" w:rsidR="007D2E3F" w:rsidRPr="00650EE6" w:rsidRDefault="007D2E3F" w:rsidP="007D2E3F">
            <w:pPr>
              <w:spacing w:after="0" w:line="240" w:lineRule="auto"/>
              <w:rPr>
                <w:color w:val="000000"/>
                <w:sz w:val="20"/>
                <w:szCs w:val="20"/>
              </w:rPr>
            </w:pPr>
            <w:r>
              <w:rPr>
                <w:color w:val="000000"/>
                <w:sz w:val="20"/>
                <w:szCs w:val="20"/>
              </w:rPr>
              <w:t>320</w:t>
            </w:r>
          </w:p>
        </w:tc>
        <w:tc>
          <w:tcPr>
            <w:tcW w:w="826" w:type="pct"/>
            <w:tcBorders>
              <w:top w:val="single" w:sz="4" w:space="0" w:color="auto"/>
              <w:left w:val="single" w:sz="4" w:space="0" w:color="auto"/>
              <w:bottom w:val="single" w:sz="4" w:space="0" w:color="auto"/>
              <w:right w:val="single" w:sz="8" w:space="0" w:color="auto"/>
            </w:tcBorders>
            <w:shd w:val="clear" w:color="auto" w:fill="auto"/>
            <w:noWrap/>
            <w:vAlign w:val="bottom"/>
          </w:tcPr>
          <w:p w14:paraId="0174FDE8" w14:textId="77777777" w:rsidR="007D2E3F" w:rsidRPr="00650EE6" w:rsidRDefault="007D2E3F" w:rsidP="007D2E3F">
            <w:pPr>
              <w:spacing w:after="0" w:line="240" w:lineRule="auto"/>
              <w:rPr>
                <w:color w:val="000000"/>
                <w:sz w:val="20"/>
                <w:szCs w:val="20"/>
              </w:rPr>
            </w:pPr>
            <w:r>
              <w:rPr>
                <w:color w:val="000000"/>
                <w:sz w:val="20"/>
                <w:szCs w:val="20"/>
              </w:rPr>
              <w:t>140</w:t>
            </w:r>
          </w:p>
        </w:tc>
      </w:tr>
      <w:tr w:rsidR="00120503" w:rsidRPr="00CD59CD" w14:paraId="2C620E5B" w14:textId="77777777" w:rsidTr="00120503">
        <w:trPr>
          <w:trHeight w:val="292"/>
        </w:trPr>
        <w:tc>
          <w:tcPr>
            <w:tcW w:w="1278" w:type="pct"/>
            <w:tcBorders>
              <w:top w:val="single" w:sz="4" w:space="0" w:color="auto"/>
              <w:left w:val="single" w:sz="8" w:space="0" w:color="auto"/>
              <w:bottom w:val="single" w:sz="4" w:space="0" w:color="auto"/>
              <w:right w:val="single" w:sz="4" w:space="0" w:color="auto"/>
            </w:tcBorders>
            <w:shd w:val="clear" w:color="DDEBF7" w:fill="DDEBF7"/>
            <w:noWrap/>
            <w:vAlign w:val="bottom"/>
            <w:hideMark/>
          </w:tcPr>
          <w:p w14:paraId="4E39FE33" w14:textId="77777777" w:rsidR="007D2E3F" w:rsidRPr="00650EE6" w:rsidRDefault="007D2E3F" w:rsidP="007D2E3F">
            <w:pPr>
              <w:spacing w:after="0" w:line="240" w:lineRule="auto"/>
              <w:rPr>
                <w:color w:val="000000"/>
                <w:sz w:val="20"/>
                <w:szCs w:val="20"/>
              </w:rPr>
            </w:pPr>
            <w:r w:rsidRPr="00650EE6">
              <w:rPr>
                <w:color w:val="000000"/>
                <w:sz w:val="20"/>
                <w:szCs w:val="20"/>
              </w:rPr>
              <w:t>Other Pharmaceuticals</w:t>
            </w:r>
          </w:p>
        </w:tc>
        <w:tc>
          <w:tcPr>
            <w:tcW w:w="50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1D9D1AB" w14:textId="77777777" w:rsidR="007D2E3F" w:rsidRPr="00650EE6" w:rsidRDefault="007D2E3F" w:rsidP="007D2E3F">
            <w:pPr>
              <w:spacing w:after="0" w:line="240" w:lineRule="auto"/>
              <w:rPr>
                <w:color w:val="000000"/>
                <w:sz w:val="20"/>
                <w:szCs w:val="20"/>
              </w:rPr>
            </w:pPr>
            <w:r w:rsidRPr="00650EE6">
              <w:rPr>
                <w:color w:val="000000"/>
                <w:sz w:val="20"/>
                <w:szCs w:val="20"/>
              </w:rPr>
              <w:t>144</w:t>
            </w:r>
          </w:p>
        </w:tc>
        <w:tc>
          <w:tcPr>
            <w:tcW w:w="509"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C4D40BF" w14:textId="77777777" w:rsidR="007D2E3F" w:rsidRPr="00650EE6" w:rsidRDefault="007D2E3F" w:rsidP="007D2E3F">
            <w:pPr>
              <w:spacing w:after="0" w:line="240" w:lineRule="auto"/>
              <w:rPr>
                <w:color w:val="000000"/>
                <w:sz w:val="20"/>
                <w:szCs w:val="20"/>
              </w:rPr>
            </w:pPr>
            <w:r w:rsidRPr="00650EE6">
              <w:rPr>
                <w:color w:val="000000"/>
                <w:sz w:val="20"/>
                <w:szCs w:val="20"/>
              </w:rPr>
              <w:t>790</w:t>
            </w:r>
          </w:p>
        </w:tc>
        <w:tc>
          <w:tcPr>
            <w:tcW w:w="52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AB9BEFE" w14:textId="77777777" w:rsidR="007D2E3F" w:rsidRPr="00650EE6" w:rsidRDefault="007D2E3F" w:rsidP="007D2E3F">
            <w:pPr>
              <w:spacing w:after="0" w:line="240" w:lineRule="auto"/>
              <w:rPr>
                <w:color w:val="000000"/>
                <w:sz w:val="20"/>
                <w:szCs w:val="20"/>
              </w:rPr>
            </w:pPr>
            <w:r w:rsidRPr="00650EE6">
              <w:rPr>
                <w:color w:val="000000"/>
                <w:sz w:val="20"/>
                <w:szCs w:val="20"/>
              </w:rPr>
              <w:t>9</w:t>
            </w:r>
          </w:p>
        </w:tc>
        <w:tc>
          <w:tcPr>
            <w:tcW w:w="52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2E10DC9" w14:textId="77777777" w:rsidR="007D2E3F" w:rsidRPr="00650EE6" w:rsidRDefault="007D2E3F" w:rsidP="007D2E3F">
            <w:pPr>
              <w:spacing w:after="0" w:line="240" w:lineRule="auto"/>
              <w:rPr>
                <w:color w:val="000000"/>
                <w:sz w:val="20"/>
                <w:szCs w:val="20"/>
              </w:rPr>
            </w:pPr>
            <w:r w:rsidRPr="00650EE6">
              <w:rPr>
                <w:color w:val="000000"/>
                <w:sz w:val="20"/>
                <w:szCs w:val="20"/>
              </w:rPr>
              <w:t>18</w:t>
            </w:r>
          </w:p>
        </w:tc>
        <w:tc>
          <w:tcPr>
            <w:tcW w:w="82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DAA711" w14:textId="77777777" w:rsidR="007D2E3F" w:rsidRPr="00650EE6" w:rsidRDefault="007D2E3F" w:rsidP="007D2E3F">
            <w:pPr>
              <w:spacing w:after="0" w:line="240" w:lineRule="auto"/>
              <w:rPr>
                <w:color w:val="000000"/>
                <w:sz w:val="20"/>
                <w:szCs w:val="20"/>
              </w:rPr>
            </w:pPr>
            <w:r>
              <w:rPr>
                <w:color w:val="000000"/>
                <w:sz w:val="20"/>
                <w:szCs w:val="20"/>
              </w:rPr>
              <w:t>370</w:t>
            </w:r>
          </w:p>
        </w:tc>
        <w:tc>
          <w:tcPr>
            <w:tcW w:w="826" w:type="pct"/>
            <w:tcBorders>
              <w:top w:val="single" w:sz="4" w:space="0" w:color="auto"/>
              <w:left w:val="single" w:sz="4" w:space="0" w:color="auto"/>
              <w:bottom w:val="single" w:sz="4" w:space="0" w:color="auto"/>
              <w:right w:val="single" w:sz="8" w:space="0" w:color="auto"/>
            </w:tcBorders>
            <w:shd w:val="clear" w:color="DDEBF7" w:fill="DDEBF7"/>
            <w:noWrap/>
            <w:vAlign w:val="bottom"/>
            <w:hideMark/>
          </w:tcPr>
          <w:p w14:paraId="35482938" w14:textId="77777777" w:rsidR="007D2E3F" w:rsidRPr="00650EE6" w:rsidRDefault="007D2E3F" w:rsidP="007D2E3F">
            <w:pPr>
              <w:spacing w:after="0" w:line="240" w:lineRule="auto"/>
              <w:rPr>
                <w:color w:val="000000"/>
                <w:sz w:val="20"/>
                <w:szCs w:val="20"/>
              </w:rPr>
            </w:pPr>
            <w:r>
              <w:rPr>
                <w:color w:val="000000"/>
                <w:sz w:val="20"/>
                <w:szCs w:val="20"/>
              </w:rPr>
              <w:t>90</w:t>
            </w:r>
          </w:p>
        </w:tc>
      </w:tr>
      <w:tr w:rsidR="00120503" w:rsidRPr="00CD59CD" w14:paraId="20345164" w14:textId="77777777" w:rsidTr="00120503">
        <w:trPr>
          <w:trHeight w:val="292"/>
        </w:trPr>
        <w:tc>
          <w:tcPr>
            <w:tcW w:w="127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8CD77B3" w14:textId="77777777" w:rsidR="007D2E3F" w:rsidRPr="00650EE6" w:rsidRDefault="007D2E3F" w:rsidP="007D2E3F">
            <w:pPr>
              <w:spacing w:after="0" w:line="240" w:lineRule="auto"/>
              <w:rPr>
                <w:color w:val="000000"/>
                <w:sz w:val="20"/>
                <w:szCs w:val="20"/>
              </w:rPr>
            </w:pPr>
            <w:r w:rsidRPr="00650EE6">
              <w:rPr>
                <w:color w:val="000000"/>
                <w:sz w:val="20"/>
                <w:szCs w:val="20"/>
              </w:rPr>
              <w:t>Heroin</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5E22D" w14:textId="77777777" w:rsidR="007D2E3F" w:rsidRPr="00650EE6" w:rsidRDefault="007D2E3F" w:rsidP="007D2E3F">
            <w:pPr>
              <w:spacing w:after="0" w:line="240" w:lineRule="auto"/>
              <w:rPr>
                <w:color w:val="000000"/>
                <w:sz w:val="20"/>
                <w:szCs w:val="20"/>
              </w:rPr>
            </w:pPr>
            <w:r w:rsidRPr="00650EE6">
              <w:rPr>
                <w:color w:val="000000"/>
                <w:sz w:val="20"/>
                <w:szCs w:val="20"/>
              </w:rPr>
              <w:t>573</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28B25" w14:textId="77777777" w:rsidR="007D2E3F" w:rsidRPr="00650EE6" w:rsidRDefault="007D2E3F" w:rsidP="007D2E3F">
            <w:pPr>
              <w:spacing w:after="0" w:line="240" w:lineRule="auto"/>
              <w:rPr>
                <w:color w:val="000000"/>
                <w:sz w:val="20"/>
                <w:szCs w:val="20"/>
              </w:rPr>
            </w:pPr>
            <w:r w:rsidRPr="00650EE6">
              <w:rPr>
                <w:color w:val="000000"/>
                <w:sz w:val="20"/>
                <w:szCs w:val="20"/>
              </w:rPr>
              <w:t>1429</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107E" w14:textId="77777777" w:rsidR="007D2E3F" w:rsidRPr="00650EE6" w:rsidRDefault="007D2E3F" w:rsidP="007D2E3F">
            <w:pPr>
              <w:spacing w:after="0" w:line="240" w:lineRule="auto"/>
              <w:rPr>
                <w:color w:val="000000"/>
                <w:sz w:val="20"/>
                <w:szCs w:val="20"/>
              </w:rPr>
            </w:pPr>
            <w:r w:rsidRPr="00650EE6">
              <w:rPr>
                <w:color w:val="000000"/>
                <w:sz w:val="20"/>
                <w:szCs w:val="20"/>
              </w:rPr>
              <w:t>1</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2639A" w14:textId="77777777" w:rsidR="007D2E3F" w:rsidRPr="00650EE6" w:rsidRDefault="007D2E3F" w:rsidP="007D2E3F">
            <w:pPr>
              <w:spacing w:after="0" w:line="240" w:lineRule="auto"/>
              <w:rPr>
                <w:color w:val="000000"/>
                <w:sz w:val="20"/>
                <w:szCs w:val="20"/>
              </w:rPr>
            </w:pPr>
            <w:r w:rsidRPr="00650EE6">
              <w:rPr>
                <w:color w:val="000000"/>
                <w:sz w:val="20"/>
                <w:szCs w:val="20"/>
              </w:rPr>
              <w:t>2</w:t>
            </w:r>
          </w:p>
        </w:tc>
        <w:tc>
          <w:tcPr>
            <w:tcW w:w="8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DCC4" w14:textId="77777777" w:rsidR="007D2E3F" w:rsidRPr="00650EE6" w:rsidRDefault="007D2E3F" w:rsidP="007D2E3F">
            <w:pPr>
              <w:spacing w:after="0" w:line="240" w:lineRule="auto"/>
              <w:rPr>
                <w:color w:val="000000"/>
                <w:sz w:val="20"/>
                <w:szCs w:val="20"/>
              </w:rPr>
            </w:pPr>
            <w:r w:rsidRPr="00650EE6">
              <w:rPr>
                <w:color w:val="000000"/>
                <w:sz w:val="20"/>
                <w:szCs w:val="20"/>
              </w:rPr>
              <w:t>1</w:t>
            </w:r>
            <w:r>
              <w:rPr>
                <w:color w:val="000000"/>
                <w:sz w:val="20"/>
                <w:szCs w:val="20"/>
              </w:rPr>
              <w:t>20</w:t>
            </w:r>
          </w:p>
        </w:tc>
        <w:tc>
          <w:tcPr>
            <w:tcW w:w="826"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0993287" w14:textId="77777777" w:rsidR="007D2E3F" w:rsidRPr="00650EE6" w:rsidRDefault="007D2E3F" w:rsidP="007D2E3F">
            <w:pPr>
              <w:spacing w:after="0" w:line="240" w:lineRule="auto"/>
              <w:rPr>
                <w:color w:val="000000"/>
                <w:sz w:val="20"/>
                <w:szCs w:val="20"/>
              </w:rPr>
            </w:pPr>
            <w:r>
              <w:rPr>
                <w:color w:val="000000"/>
                <w:sz w:val="20"/>
                <w:szCs w:val="20"/>
              </w:rPr>
              <w:t>np</w:t>
            </w:r>
          </w:p>
        </w:tc>
      </w:tr>
      <w:tr w:rsidR="00120503" w:rsidRPr="00CD59CD" w14:paraId="06C98FFE" w14:textId="77777777" w:rsidTr="00120503">
        <w:trPr>
          <w:trHeight w:val="292"/>
        </w:trPr>
        <w:tc>
          <w:tcPr>
            <w:tcW w:w="1278" w:type="pct"/>
            <w:tcBorders>
              <w:top w:val="single" w:sz="4" w:space="0" w:color="auto"/>
              <w:left w:val="single" w:sz="8" w:space="0" w:color="auto"/>
              <w:bottom w:val="single" w:sz="8" w:space="0" w:color="auto"/>
              <w:right w:val="single" w:sz="4" w:space="0" w:color="auto"/>
            </w:tcBorders>
            <w:shd w:val="clear" w:color="DDEBF7" w:fill="DDEBF7"/>
            <w:noWrap/>
            <w:vAlign w:val="bottom"/>
            <w:hideMark/>
          </w:tcPr>
          <w:p w14:paraId="122335D5" w14:textId="77777777" w:rsidR="007D2E3F" w:rsidRPr="00650EE6" w:rsidRDefault="007D2E3F" w:rsidP="007D2E3F">
            <w:pPr>
              <w:spacing w:after="0" w:line="240" w:lineRule="auto"/>
              <w:rPr>
                <w:b/>
                <w:bCs/>
                <w:color w:val="000000"/>
                <w:sz w:val="20"/>
                <w:szCs w:val="20"/>
              </w:rPr>
            </w:pPr>
            <w:r w:rsidRPr="00650EE6">
              <w:rPr>
                <w:b/>
                <w:bCs/>
                <w:color w:val="000000"/>
                <w:sz w:val="20"/>
                <w:szCs w:val="20"/>
              </w:rPr>
              <w:t>TOTAL</w:t>
            </w:r>
          </w:p>
        </w:tc>
        <w:tc>
          <w:tcPr>
            <w:tcW w:w="509" w:type="pct"/>
            <w:tcBorders>
              <w:top w:val="single" w:sz="4" w:space="0" w:color="auto"/>
              <w:left w:val="single" w:sz="4" w:space="0" w:color="auto"/>
              <w:bottom w:val="single" w:sz="8" w:space="0" w:color="auto"/>
              <w:right w:val="single" w:sz="4" w:space="0" w:color="auto"/>
            </w:tcBorders>
            <w:shd w:val="clear" w:color="DDEBF7" w:fill="DDEBF7"/>
            <w:noWrap/>
            <w:vAlign w:val="bottom"/>
            <w:hideMark/>
          </w:tcPr>
          <w:p w14:paraId="6BD4F150" w14:textId="77777777" w:rsidR="007D2E3F" w:rsidRPr="00650EE6" w:rsidRDefault="007D2E3F" w:rsidP="007D2E3F">
            <w:pPr>
              <w:spacing w:after="0" w:line="240" w:lineRule="auto"/>
              <w:rPr>
                <w:b/>
                <w:color w:val="000000"/>
                <w:sz w:val="20"/>
                <w:szCs w:val="20"/>
              </w:rPr>
            </w:pPr>
            <w:r w:rsidRPr="00650EE6">
              <w:rPr>
                <w:b/>
                <w:color w:val="000000"/>
                <w:sz w:val="20"/>
                <w:szCs w:val="20"/>
              </w:rPr>
              <w:t>2764</w:t>
            </w:r>
          </w:p>
        </w:tc>
        <w:tc>
          <w:tcPr>
            <w:tcW w:w="509" w:type="pct"/>
            <w:tcBorders>
              <w:top w:val="single" w:sz="4" w:space="0" w:color="auto"/>
              <w:left w:val="single" w:sz="4" w:space="0" w:color="auto"/>
              <w:bottom w:val="single" w:sz="8" w:space="0" w:color="auto"/>
              <w:right w:val="single" w:sz="4" w:space="0" w:color="auto"/>
            </w:tcBorders>
            <w:shd w:val="clear" w:color="DDEBF7" w:fill="DDEBF7"/>
            <w:noWrap/>
            <w:vAlign w:val="bottom"/>
            <w:hideMark/>
          </w:tcPr>
          <w:p w14:paraId="633A6818" w14:textId="77777777" w:rsidR="007D2E3F" w:rsidRPr="00650EE6" w:rsidRDefault="007D2E3F" w:rsidP="007D2E3F">
            <w:pPr>
              <w:spacing w:after="0" w:line="240" w:lineRule="auto"/>
              <w:rPr>
                <w:b/>
                <w:color w:val="000000"/>
                <w:sz w:val="20"/>
                <w:szCs w:val="20"/>
              </w:rPr>
            </w:pPr>
            <w:r w:rsidRPr="00650EE6">
              <w:rPr>
                <w:b/>
                <w:color w:val="000000"/>
                <w:sz w:val="20"/>
                <w:szCs w:val="20"/>
              </w:rPr>
              <w:t>8789</w:t>
            </w:r>
          </w:p>
        </w:tc>
        <w:tc>
          <w:tcPr>
            <w:tcW w:w="526" w:type="pct"/>
            <w:tcBorders>
              <w:top w:val="single" w:sz="4" w:space="0" w:color="auto"/>
              <w:left w:val="single" w:sz="4" w:space="0" w:color="auto"/>
              <w:bottom w:val="single" w:sz="8" w:space="0" w:color="auto"/>
              <w:right w:val="single" w:sz="4" w:space="0" w:color="auto"/>
            </w:tcBorders>
            <w:shd w:val="clear" w:color="DDEBF7" w:fill="DDEBF7"/>
            <w:noWrap/>
            <w:vAlign w:val="bottom"/>
            <w:hideMark/>
          </w:tcPr>
          <w:p w14:paraId="52B85F6C" w14:textId="77777777" w:rsidR="007D2E3F" w:rsidRPr="00650EE6" w:rsidRDefault="007D2E3F" w:rsidP="007D2E3F">
            <w:pPr>
              <w:spacing w:after="0" w:line="240" w:lineRule="auto"/>
              <w:rPr>
                <w:b/>
                <w:color w:val="000000"/>
                <w:sz w:val="20"/>
                <w:szCs w:val="20"/>
              </w:rPr>
            </w:pPr>
            <w:r w:rsidRPr="00650EE6">
              <w:rPr>
                <w:b/>
                <w:color w:val="000000"/>
                <w:sz w:val="20"/>
                <w:szCs w:val="20"/>
              </w:rPr>
              <w:t>98</w:t>
            </w:r>
          </w:p>
        </w:tc>
        <w:tc>
          <w:tcPr>
            <w:tcW w:w="526" w:type="pct"/>
            <w:tcBorders>
              <w:top w:val="single" w:sz="4" w:space="0" w:color="auto"/>
              <w:left w:val="single" w:sz="4" w:space="0" w:color="auto"/>
              <w:bottom w:val="single" w:sz="8" w:space="0" w:color="auto"/>
              <w:right w:val="single" w:sz="4" w:space="0" w:color="auto"/>
            </w:tcBorders>
            <w:shd w:val="clear" w:color="DDEBF7" w:fill="DDEBF7"/>
            <w:noWrap/>
            <w:vAlign w:val="bottom"/>
            <w:hideMark/>
          </w:tcPr>
          <w:p w14:paraId="063191FF" w14:textId="77777777" w:rsidR="007D2E3F" w:rsidRPr="00650EE6" w:rsidRDefault="007D2E3F" w:rsidP="007D2E3F">
            <w:pPr>
              <w:spacing w:after="0" w:line="240" w:lineRule="auto"/>
              <w:rPr>
                <w:b/>
                <w:color w:val="000000"/>
                <w:sz w:val="20"/>
                <w:szCs w:val="20"/>
              </w:rPr>
            </w:pPr>
            <w:r w:rsidRPr="00650EE6">
              <w:rPr>
                <w:b/>
                <w:color w:val="000000"/>
                <w:sz w:val="20"/>
                <w:szCs w:val="20"/>
              </w:rPr>
              <w:t>129</w:t>
            </w:r>
          </w:p>
        </w:tc>
        <w:tc>
          <w:tcPr>
            <w:tcW w:w="826" w:type="pct"/>
            <w:tcBorders>
              <w:top w:val="single" w:sz="4" w:space="0" w:color="auto"/>
              <w:left w:val="single" w:sz="4" w:space="0" w:color="auto"/>
              <w:bottom w:val="single" w:sz="8" w:space="0" w:color="auto"/>
              <w:right w:val="single" w:sz="4" w:space="0" w:color="auto"/>
            </w:tcBorders>
            <w:shd w:val="clear" w:color="DDEBF7" w:fill="DDEBF7"/>
            <w:noWrap/>
            <w:vAlign w:val="bottom"/>
            <w:hideMark/>
          </w:tcPr>
          <w:p w14:paraId="36BA9C5C" w14:textId="77777777" w:rsidR="007D2E3F" w:rsidRPr="00650EE6" w:rsidRDefault="007D2E3F" w:rsidP="007D2E3F">
            <w:pPr>
              <w:spacing w:after="0" w:line="240" w:lineRule="auto"/>
              <w:rPr>
                <w:b/>
                <w:color w:val="000000"/>
                <w:sz w:val="20"/>
                <w:szCs w:val="20"/>
              </w:rPr>
            </w:pPr>
          </w:p>
        </w:tc>
        <w:tc>
          <w:tcPr>
            <w:tcW w:w="826" w:type="pct"/>
            <w:tcBorders>
              <w:top w:val="single" w:sz="4" w:space="0" w:color="auto"/>
              <w:left w:val="single" w:sz="4" w:space="0" w:color="auto"/>
              <w:bottom w:val="single" w:sz="8" w:space="0" w:color="auto"/>
              <w:right w:val="single" w:sz="8" w:space="0" w:color="auto"/>
            </w:tcBorders>
            <w:shd w:val="clear" w:color="DDEBF7" w:fill="DDEBF7"/>
            <w:noWrap/>
            <w:vAlign w:val="bottom"/>
            <w:hideMark/>
          </w:tcPr>
          <w:p w14:paraId="300D3C28" w14:textId="77777777" w:rsidR="007D2E3F" w:rsidRPr="00650EE6" w:rsidRDefault="007D2E3F" w:rsidP="007D2E3F">
            <w:pPr>
              <w:spacing w:after="0" w:line="240" w:lineRule="auto"/>
              <w:rPr>
                <w:b/>
                <w:color w:val="000000"/>
                <w:sz w:val="20"/>
                <w:szCs w:val="20"/>
              </w:rPr>
            </w:pPr>
          </w:p>
        </w:tc>
      </w:tr>
    </w:tbl>
    <w:p w14:paraId="7DA5C55B" w14:textId="4B5AF333" w:rsidR="007D2E3F" w:rsidRDefault="007D2E3F" w:rsidP="007D2E3F">
      <w:pPr>
        <w:pStyle w:val="BulletedListLevel1"/>
        <w:numPr>
          <w:ilvl w:val="0"/>
          <w:numId w:val="0"/>
        </w:numPr>
        <w:ind w:left="567"/>
        <w:rPr>
          <w:sz w:val="20"/>
          <w:szCs w:val="20"/>
        </w:rPr>
      </w:pPr>
      <w:r w:rsidRPr="006A50F7">
        <w:rPr>
          <w:sz w:val="20"/>
          <w:szCs w:val="20"/>
        </w:rPr>
        <w:t>Note: np (not published) means that a value could not be calculated due to the small number of deaths.</w:t>
      </w:r>
    </w:p>
    <w:p w14:paraId="7B30D9F8" w14:textId="03FF57B9" w:rsidR="007F0368" w:rsidRDefault="007F0368" w:rsidP="006F7697">
      <w:pPr>
        <w:pStyle w:val="BulletedListLevel1"/>
        <w:numPr>
          <w:ilvl w:val="0"/>
          <w:numId w:val="71"/>
        </w:numPr>
        <w:tabs>
          <w:tab w:val="clear" w:pos="1134"/>
          <w:tab w:val="left" w:pos="567"/>
        </w:tabs>
        <w:spacing w:line="260" w:lineRule="atLeast"/>
        <w:ind w:left="567" w:hanging="567"/>
        <w:rPr>
          <w:szCs w:val="22"/>
        </w:rPr>
      </w:pPr>
      <w:r w:rsidRPr="007F0368">
        <w:rPr>
          <w:szCs w:val="22"/>
        </w:rPr>
        <w:t xml:space="preserve">Overall, Tasmania’s unintentional </w:t>
      </w:r>
      <w:r>
        <w:rPr>
          <w:szCs w:val="22"/>
        </w:rPr>
        <w:t xml:space="preserve">and total drug-induced deaths </w:t>
      </w:r>
      <w:r w:rsidR="00750DA3">
        <w:rPr>
          <w:szCs w:val="22"/>
        </w:rPr>
        <w:t>by PHN (601) by number and rate per 100 000 population from 2011.</w:t>
      </w:r>
    </w:p>
    <w:tbl>
      <w:tblPr>
        <w:tblStyle w:val="TableGrid"/>
        <w:tblW w:w="9639" w:type="dxa"/>
        <w:tblInd w:w="-5" w:type="dxa"/>
        <w:tblLook w:val="04A0" w:firstRow="1" w:lastRow="0" w:firstColumn="1" w:lastColumn="0" w:noHBand="0" w:noVBand="1"/>
      </w:tblPr>
      <w:tblGrid>
        <w:gridCol w:w="2977"/>
        <w:gridCol w:w="654"/>
        <w:gridCol w:w="654"/>
        <w:gridCol w:w="654"/>
        <w:gridCol w:w="654"/>
        <w:gridCol w:w="654"/>
        <w:gridCol w:w="654"/>
        <w:gridCol w:w="654"/>
        <w:gridCol w:w="1110"/>
        <w:gridCol w:w="974"/>
      </w:tblGrid>
      <w:tr w:rsidR="00750DA3" w:rsidRPr="007F0368" w14:paraId="7F79DE6D" w14:textId="77777777" w:rsidTr="00120503">
        <w:tc>
          <w:tcPr>
            <w:tcW w:w="2977" w:type="dxa"/>
          </w:tcPr>
          <w:p w14:paraId="002869FA" w14:textId="77777777" w:rsidR="007F0368" w:rsidRPr="007F0368" w:rsidRDefault="007F0368" w:rsidP="007F0368">
            <w:pPr>
              <w:pStyle w:val="BulletedListLevel1"/>
              <w:numPr>
                <w:ilvl w:val="0"/>
                <w:numId w:val="0"/>
              </w:numPr>
              <w:tabs>
                <w:tab w:val="clear" w:pos="1134"/>
                <w:tab w:val="left" w:pos="567"/>
              </w:tabs>
              <w:spacing w:after="0" w:line="240" w:lineRule="auto"/>
              <w:rPr>
                <w:b/>
                <w:sz w:val="18"/>
                <w:szCs w:val="18"/>
              </w:rPr>
            </w:pPr>
          </w:p>
        </w:tc>
        <w:tc>
          <w:tcPr>
            <w:tcW w:w="654" w:type="dxa"/>
          </w:tcPr>
          <w:p w14:paraId="29764362" w14:textId="5ECBB426" w:rsidR="007F0368" w:rsidRPr="007F0368" w:rsidRDefault="007F0368" w:rsidP="007F0368">
            <w:pPr>
              <w:pStyle w:val="BulletedListLevel1"/>
              <w:numPr>
                <w:ilvl w:val="0"/>
                <w:numId w:val="0"/>
              </w:numPr>
              <w:tabs>
                <w:tab w:val="clear" w:pos="1134"/>
                <w:tab w:val="left" w:pos="567"/>
              </w:tabs>
              <w:spacing w:after="0" w:line="240" w:lineRule="auto"/>
              <w:rPr>
                <w:b/>
                <w:sz w:val="18"/>
                <w:szCs w:val="18"/>
              </w:rPr>
            </w:pPr>
            <w:r>
              <w:rPr>
                <w:b/>
                <w:sz w:val="18"/>
                <w:szCs w:val="18"/>
              </w:rPr>
              <w:t>2011 no.</w:t>
            </w:r>
          </w:p>
        </w:tc>
        <w:tc>
          <w:tcPr>
            <w:tcW w:w="654" w:type="dxa"/>
          </w:tcPr>
          <w:p w14:paraId="3903DCD9" w14:textId="05E4BF96" w:rsidR="007F0368" w:rsidRPr="007F0368" w:rsidRDefault="007F0368" w:rsidP="007F0368">
            <w:pPr>
              <w:pStyle w:val="BulletedListLevel1"/>
              <w:numPr>
                <w:ilvl w:val="0"/>
                <w:numId w:val="0"/>
              </w:numPr>
              <w:tabs>
                <w:tab w:val="clear" w:pos="1134"/>
                <w:tab w:val="left" w:pos="567"/>
              </w:tabs>
              <w:spacing w:after="0" w:line="240" w:lineRule="auto"/>
              <w:rPr>
                <w:b/>
                <w:sz w:val="18"/>
                <w:szCs w:val="18"/>
              </w:rPr>
            </w:pPr>
            <w:r>
              <w:rPr>
                <w:b/>
                <w:sz w:val="18"/>
                <w:szCs w:val="18"/>
              </w:rPr>
              <w:t>2012 no.</w:t>
            </w:r>
          </w:p>
        </w:tc>
        <w:tc>
          <w:tcPr>
            <w:tcW w:w="654" w:type="dxa"/>
          </w:tcPr>
          <w:p w14:paraId="643C3551" w14:textId="02AA6356" w:rsidR="007F0368" w:rsidRPr="007F0368" w:rsidRDefault="007F0368" w:rsidP="007F0368">
            <w:pPr>
              <w:pStyle w:val="BulletedListLevel1"/>
              <w:numPr>
                <w:ilvl w:val="0"/>
                <w:numId w:val="0"/>
              </w:numPr>
              <w:tabs>
                <w:tab w:val="clear" w:pos="1134"/>
                <w:tab w:val="left" w:pos="567"/>
              </w:tabs>
              <w:spacing w:after="0" w:line="240" w:lineRule="auto"/>
              <w:rPr>
                <w:b/>
                <w:sz w:val="18"/>
                <w:szCs w:val="18"/>
              </w:rPr>
            </w:pPr>
            <w:r>
              <w:rPr>
                <w:b/>
                <w:sz w:val="18"/>
                <w:szCs w:val="18"/>
              </w:rPr>
              <w:t>2013 no.</w:t>
            </w:r>
          </w:p>
        </w:tc>
        <w:tc>
          <w:tcPr>
            <w:tcW w:w="654" w:type="dxa"/>
          </w:tcPr>
          <w:p w14:paraId="74D63F03" w14:textId="19D8CB14" w:rsidR="007F0368" w:rsidRPr="007F0368" w:rsidRDefault="007F0368" w:rsidP="007F0368">
            <w:pPr>
              <w:pStyle w:val="BulletedListLevel1"/>
              <w:numPr>
                <w:ilvl w:val="0"/>
                <w:numId w:val="0"/>
              </w:numPr>
              <w:tabs>
                <w:tab w:val="clear" w:pos="1134"/>
                <w:tab w:val="left" w:pos="567"/>
              </w:tabs>
              <w:spacing w:after="0" w:line="240" w:lineRule="auto"/>
              <w:rPr>
                <w:b/>
                <w:sz w:val="18"/>
                <w:szCs w:val="18"/>
              </w:rPr>
            </w:pPr>
            <w:r>
              <w:rPr>
                <w:b/>
                <w:sz w:val="18"/>
                <w:szCs w:val="18"/>
              </w:rPr>
              <w:t>2014 no.</w:t>
            </w:r>
          </w:p>
        </w:tc>
        <w:tc>
          <w:tcPr>
            <w:tcW w:w="654" w:type="dxa"/>
          </w:tcPr>
          <w:p w14:paraId="5A3C4715" w14:textId="6597603D" w:rsidR="007F0368" w:rsidRPr="007F0368" w:rsidRDefault="007F0368" w:rsidP="007F0368">
            <w:pPr>
              <w:pStyle w:val="BulletedListLevel1"/>
              <w:numPr>
                <w:ilvl w:val="0"/>
                <w:numId w:val="0"/>
              </w:numPr>
              <w:tabs>
                <w:tab w:val="clear" w:pos="1134"/>
                <w:tab w:val="left" w:pos="567"/>
              </w:tabs>
              <w:spacing w:after="0" w:line="240" w:lineRule="auto"/>
              <w:rPr>
                <w:b/>
                <w:sz w:val="18"/>
                <w:szCs w:val="18"/>
              </w:rPr>
            </w:pPr>
            <w:r>
              <w:rPr>
                <w:b/>
                <w:sz w:val="18"/>
                <w:szCs w:val="18"/>
              </w:rPr>
              <w:t>2015 no.</w:t>
            </w:r>
          </w:p>
        </w:tc>
        <w:tc>
          <w:tcPr>
            <w:tcW w:w="654" w:type="dxa"/>
          </w:tcPr>
          <w:p w14:paraId="557FC72C" w14:textId="335949A0" w:rsidR="007F0368" w:rsidRPr="007F0368" w:rsidRDefault="007F0368" w:rsidP="007F0368">
            <w:pPr>
              <w:pStyle w:val="BulletedListLevel1"/>
              <w:numPr>
                <w:ilvl w:val="0"/>
                <w:numId w:val="0"/>
              </w:numPr>
              <w:tabs>
                <w:tab w:val="clear" w:pos="1134"/>
                <w:tab w:val="left" w:pos="567"/>
              </w:tabs>
              <w:spacing w:after="0" w:line="240" w:lineRule="auto"/>
              <w:rPr>
                <w:b/>
                <w:sz w:val="18"/>
                <w:szCs w:val="18"/>
              </w:rPr>
            </w:pPr>
            <w:r>
              <w:rPr>
                <w:b/>
                <w:sz w:val="18"/>
                <w:szCs w:val="18"/>
              </w:rPr>
              <w:t>2016 no.</w:t>
            </w:r>
          </w:p>
        </w:tc>
        <w:tc>
          <w:tcPr>
            <w:tcW w:w="654" w:type="dxa"/>
          </w:tcPr>
          <w:p w14:paraId="2208B4F5" w14:textId="0D253892" w:rsidR="007F0368" w:rsidRPr="007F0368" w:rsidRDefault="007F0368" w:rsidP="007F0368">
            <w:pPr>
              <w:pStyle w:val="BulletedListLevel1"/>
              <w:numPr>
                <w:ilvl w:val="0"/>
                <w:numId w:val="0"/>
              </w:numPr>
              <w:tabs>
                <w:tab w:val="clear" w:pos="1134"/>
                <w:tab w:val="left" w:pos="567"/>
              </w:tabs>
              <w:spacing w:after="0" w:line="240" w:lineRule="auto"/>
              <w:rPr>
                <w:b/>
                <w:sz w:val="18"/>
                <w:szCs w:val="18"/>
              </w:rPr>
            </w:pPr>
            <w:r>
              <w:rPr>
                <w:b/>
                <w:sz w:val="18"/>
                <w:szCs w:val="18"/>
              </w:rPr>
              <w:t>2017 no.</w:t>
            </w:r>
          </w:p>
        </w:tc>
        <w:tc>
          <w:tcPr>
            <w:tcW w:w="1110" w:type="dxa"/>
          </w:tcPr>
          <w:p w14:paraId="4312E9E7" w14:textId="24D12322" w:rsidR="007F0368" w:rsidRPr="007F0368" w:rsidRDefault="007F0368" w:rsidP="00750DA3">
            <w:pPr>
              <w:pStyle w:val="BulletedListLevel1"/>
              <w:numPr>
                <w:ilvl w:val="0"/>
                <w:numId w:val="0"/>
              </w:numPr>
              <w:tabs>
                <w:tab w:val="clear" w:pos="1134"/>
                <w:tab w:val="left" w:pos="567"/>
              </w:tabs>
              <w:spacing w:after="0" w:line="240" w:lineRule="auto"/>
              <w:jc w:val="center"/>
              <w:rPr>
                <w:b/>
                <w:sz w:val="18"/>
                <w:szCs w:val="18"/>
              </w:rPr>
            </w:pPr>
            <w:r>
              <w:rPr>
                <w:b/>
                <w:sz w:val="18"/>
                <w:szCs w:val="18"/>
              </w:rPr>
              <w:t>2011-2015 rate per 100 000</w:t>
            </w:r>
          </w:p>
        </w:tc>
        <w:tc>
          <w:tcPr>
            <w:tcW w:w="974" w:type="dxa"/>
          </w:tcPr>
          <w:p w14:paraId="47A42706" w14:textId="6F2C62B9" w:rsidR="007F0368" w:rsidRPr="007F0368" w:rsidRDefault="007F0368" w:rsidP="00750DA3">
            <w:pPr>
              <w:pStyle w:val="BulletedListLevel1"/>
              <w:numPr>
                <w:ilvl w:val="0"/>
                <w:numId w:val="0"/>
              </w:numPr>
              <w:tabs>
                <w:tab w:val="clear" w:pos="1134"/>
                <w:tab w:val="left" w:pos="567"/>
              </w:tabs>
              <w:spacing w:after="0" w:line="240" w:lineRule="auto"/>
              <w:jc w:val="center"/>
              <w:rPr>
                <w:b/>
                <w:sz w:val="18"/>
                <w:szCs w:val="18"/>
              </w:rPr>
            </w:pPr>
            <w:r w:rsidRPr="007F0368">
              <w:rPr>
                <w:b/>
                <w:sz w:val="18"/>
                <w:szCs w:val="18"/>
              </w:rPr>
              <w:t>2016-17 rate per 100</w:t>
            </w:r>
            <w:r>
              <w:rPr>
                <w:b/>
                <w:sz w:val="18"/>
                <w:szCs w:val="18"/>
              </w:rPr>
              <w:t xml:space="preserve"> </w:t>
            </w:r>
            <w:r w:rsidRPr="007F0368">
              <w:rPr>
                <w:b/>
                <w:sz w:val="18"/>
                <w:szCs w:val="18"/>
              </w:rPr>
              <w:t>000</w:t>
            </w:r>
          </w:p>
        </w:tc>
      </w:tr>
      <w:tr w:rsidR="00750DA3" w14:paraId="7D333613" w14:textId="77777777" w:rsidTr="00120503">
        <w:tc>
          <w:tcPr>
            <w:tcW w:w="2977" w:type="dxa"/>
          </w:tcPr>
          <w:p w14:paraId="01570638" w14:textId="592441EA"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sidRPr="00750DA3">
              <w:rPr>
                <w:sz w:val="20"/>
                <w:szCs w:val="20"/>
              </w:rPr>
              <w:t>Unintentional drug-induced deaths</w:t>
            </w:r>
          </w:p>
        </w:tc>
        <w:tc>
          <w:tcPr>
            <w:tcW w:w="654" w:type="dxa"/>
          </w:tcPr>
          <w:p w14:paraId="02964752" w14:textId="3EC3F59F"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sidRPr="00750DA3">
              <w:rPr>
                <w:sz w:val="20"/>
                <w:szCs w:val="20"/>
              </w:rPr>
              <w:t>36</w:t>
            </w:r>
          </w:p>
        </w:tc>
        <w:tc>
          <w:tcPr>
            <w:tcW w:w="654" w:type="dxa"/>
          </w:tcPr>
          <w:p w14:paraId="5A3AD860" w14:textId="275721D4"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sidRPr="00750DA3">
              <w:rPr>
                <w:sz w:val="20"/>
                <w:szCs w:val="20"/>
              </w:rPr>
              <w:t>28</w:t>
            </w:r>
          </w:p>
        </w:tc>
        <w:tc>
          <w:tcPr>
            <w:tcW w:w="654" w:type="dxa"/>
          </w:tcPr>
          <w:p w14:paraId="1E8BBA12" w14:textId="6AB7AA9D"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sidRPr="00750DA3">
              <w:rPr>
                <w:sz w:val="20"/>
                <w:szCs w:val="20"/>
              </w:rPr>
              <w:t>27</w:t>
            </w:r>
          </w:p>
        </w:tc>
        <w:tc>
          <w:tcPr>
            <w:tcW w:w="654" w:type="dxa"/>
          </w:tcPr>
          <w:p w14:paraId="716E11F0" w14:textId="1B18C679"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sidRPr="00750DA3">
              <w:rPr>
                <w:sz w:val="20"/>
                <w:szCs w:val="20"/>
              </w:rPr>
              <w:t>37</w:t>
            </w:r>
          </w:p>
        </w:tc>
        <w:tc>
          <w:tcPr>
            <w:tcW w:w="654" w:type="dxa"/>
          </w:tcPr>
          <w:p w14:paraId="26B31661" w14:textId="57561F8B"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sidRPr="00750DA3">
              <w:rPr>
                <w:sz w:val="20"/>
                <w:szCs w:val="20"/>
              </w:rPr>
              <w:t>31</w:t>
            </w:r>
          </w:p>
        </w:tc>
        <w:tc>
          <w:tcPr>
            <w:tcW w:w="654" w:type="dxa"/>
          </w:tcPr>
          <w:p w14:paraId="3F6E5A2F" w14:textId="089A3756"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sidRPr="00750DA3">
              <w:rPr>
                <w:sz w:val="20"/>
                <w:szCs w:val="20"/>
              </w:rPr>
              <w:t>48</w:t>
            </w:r>
          </w:p>
        </w:tc>
        <w:tc>
          <w:tcPr>
            <w:tcW w:w="654" w:type="dxa"/>
          </w:tcPr>
          <w:p w14:paraId="078699D7" w14:textId="620C6CAC"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sidRPr="00750DA3">
              <w:rPr>
                <w:sz w:val="20"/>
                <w:szCs w:val="20"/>
              </w:rPr>
              <w:t>30</w:t>
            </w:r>
          </w:p>
        </w:tc>
        <w:tc>
          <w:tcPr>
            <w:tcW w:w="1110" w:type="dxa"/>
          </w:tcPr>
          <w:p w14:paraId="51C87BA3" w14:textId="265277CE" w:rsidR="007F0368" w:rsidRPr="00750DA3" w:rsidRDefault="00750DA3" w:rsidP="00750DA3">
            <w:pPr>
              <w:pStyle w:val="BulletedListLevel1"/>
              <w:numPr>
                <w:ilvl w:val="0"/>
                <w:numId w:val="0"/>
              </w:numPr>
              <w:tabs>
                <w:tab w:val="clear" w:pos="1134"/>
                <w:tab w:val="left" w:pos="567"/>
              </w:tabs>
              <w:spacing w:after="0" w:line="240" w:lineRule="auto"/>
              <w:jc w:val="center"/>
              <w:rPr>
                <w:sz w:val="20"/>
                <w:szCs w:val="20"/>
              </w:rPr>
            </w:pPr>
            <w:r>
              <w:rPr>
                <w:sz w:val="20"/>
                <w:szCs w:val="20"/>
              </w:rPr>
              <w:t>5.9</w:t>
            </w:r>
          </w:p>
        </w:tc>
        <w:tc>
          <w:tcPr>
            <w:tcW w:w="974" w:type="dxa"/>
          </w:tcPr>
          <w:p w14:paraId="133BEE57" w14:textId="51159679" w:rsidR="007F0368" w:rsidRPr="00750DA3" w:rsidRDefault="00750DA3" w:rsidP="00750DA3">
            <w:pPr>
              <w:pStyle w:val="BulletedListLevel1"/>
              <w:numPr>
                <w:ilvl w:val="0"/>
                <w:numId w:val="0"/>
              </w:numPr>
              <w:tabs>
                <w:tab w:val="clear" w:pos="1134"/>
                <w:tab w:val="left" w:pos="567"/>
              </w:tabs>
              <w:spacing w:after="0" w:line="240" w:lineRule="auto"/>
              <w:jc w:val="center"/>
              <w:rPr>
                <w:sz w:val="20"/>
                <w:szCs w:val="20"/>
              </w:rPr>
            </w:pPr>
            <w:r>
              <w:rPr>
                <w:sz w:val="20"/>
                <w:szCs w:val="20"/>
              </w:rPr>
              <w:t>7.3</w:t>
            </w:r>
          </w:p>
        </w:tc>
      </w:tr>
      <w:tr w:rsidR="00750DA3" w14:paraId="5E6AC207" w14:textId="77777777" w:rsidTr="00120503">
        <w:tc>
          <w:tcPr>
            <w:tcW w:w="2977" w:type="dxa"/>
          </w:tcPr>
          <w:p w14:paraId="07F39D7E" w14:textId="77777777" w:rsidR="007F0368" w:rsidRDefault="00750DA3" w:rsidP="007F0368">
            <w:pPr>
              <w:pStyle w:val="BulletedListLevel1"/>
              <w:numPr>
                <w:ilvl w:val="0"/>
                <w:numId w:val="0"/>
              </w:numPr>
              <w:tabs>
                <w:tab w:val="clear" w:pos="1134"/>
                <w:tab w:val="left" w:pos="567"/>
              </w:tabs>
              <w:spacing w:after="0" w:line="240" w:lineRule="auto"/>
              <w:rPr>
                <w:sz w:val="20"/>
                <w:szCs w:val="20"/>
              </w:rPr>
            </w:pPr>
            <w:r>
              <w:rPr>
                <w:sz w:val="20"/>
                <w:szCs w:val="20"/>
              </w:rPr>
              <w:t>Total drug-induced deaths</w:t>
            </w:r>
          </w:p>
          <w:p w14:paraId="30AE7921" w14:textId="75D5037C" w:rsidR="00750DA3" w:rsidRPr="00750DA3" w:rsidRDefault="00750DA3" w:rsidP="007F0368">
            <w:pPr>
              <w:pStyle w:val="BulletedListLevel1"/>
              <w:numPr>
                <w:ilvl w:val="0"/>
                <w:numId w:val="0"/>
              </w:numPr>
              <w:tabs>
                <w:tab w:val="clear" w:pos="1134"/>
                <w:tab w:val="left" w:pos="567"/>
              </w:tabs>
              <w:spacing w:after="0" w:line="240" w:lineRule="auto"/>
              <w:rPr>
                <w:sz w:val="20"/>
                <w:szCs w:val="20"/>
              </w:rPr>
            </w:pPr>
          </w:p>
        </w:tc>
        <w:tc>
          <w:tcPr>
            <w:tcW w:w="654" w:type="dxa"/>
          </w:tcPr>
          <w:p w14:paraId="3069B524" w14:textId="122E7AFC"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Pr>
                <w:sz w:val="20"/>
                <w:szCs w:val="20"/>
              </w:rPr>
              <w:t>47</w:t>
            </w:r>
          </w:p>
        </w:tc>
        <w:tc>
          <w:tcPr>
            <w:tcW w:w="654" w:type="dxa"/>
          </w:tcPr>
          <w:p w14:paraId="6256EADC" w14:textId="158BA924"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Pr>
                <w:sz w:val="20"/>
                <w:szCs w:val="20"/>
              </w:rPr>
              <w:t>42</w:t>
            </w:r>
          </w:p>
        </w:tc>
        <w:tc>
          <w:tcPr>
            <w:tcW w:w="654" w:type="dxa"/>
          </w:tcPr>
          <w:p w14:paraId="3B7CF062" w14:textId="3ECE1574"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Pr>
                <w:sz w:val="20"/>
                <w:szCs w:val="20"/>
              </w:rPr>
              <w:t>46</w:t>
            </w:r>
          </w:p>
        </w:tc>
        <w:tc>
          <w:tcPr>
            <w:tcW w:w="654" w:type="dxa"/>
          </w:tcPr>
          <w:p w14:paraId="431EC01C" w14:textId="1447A373"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Pr>
                <w:sz w:val="20"/>
                <w:szCs w:val="20"/>
              </w:rPr>
              <w:t>54</w:t>
            </w:r>
          </w:p>
        </w:tc>
        <w:tc>
          <w:tcPr>
            <w:tcW w:w="654" w:type="dxa"/>
          </w:tcPr>
          <w:p w14:paraId="0DBCCA37" w14:textId="56287035"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Pr>
                <w:sz w:val="20"/>
                <w:szCs w:val="20"/>
              </w:rPr>
              <w:t>49</w:t>
            </w:r>
          </w:p>
        </w:tc>
        <w:tc>
          <w:tcPr>
            <w:tcW w:w="654" w:type="dxa"/>
          </w:tcPr>
          <w:p w14:paraId="1EA663DE" w14:textId="16EE27E1"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Pr>
                <w:sz w:val="20"/>
                <w:szCs w:val="20"/>
              </w:rPr>
              <w:t>71</w:t>
            </w:r>
          </w:p>
        </w:tc>
        <w:tc>
          <w:tcPr>
            <w:tcW w:w="654" w:type="dxa"/>
          </w:tcPr>
          <w:p w14:paraId="705204DA" w14:textId="4BB84C5C" w:rsidR="007F0368" w:rsidRPr="00750DA3" w:rsidRDefault="00750DA3" w:rsidP="007F0368">
            <w:pPr>
              <w:pStyle w:val="BulletedListLevel1"/>
              <w:numPr>
                <w:ilvl w:val="0"/>
                <w:numId w:val="0"/>
              </w:numPr>
              <w:tabs>
                <w:tab w:val="clear" w:pos="1134"/>
                <w:tab w:val="left" w:pos="567"/>
              </w:tabs>
              <w:spacing w:after="0" w:line="240" w:lineRule="auto"/>
              <w:rPr>
                <w:sz w:val="20"/>
                <w:szCs w:val="20"/>
              </w:rPr>
            </w:pPr>
            <w:r>
              <w:rPr>
                <w:sz w:val="20"/>
                <w:szCs w:val="20"/>
              </w:rPr>
              <w:t>54</w:t>
            </w:r>
          </w:p>
        </w:tc>
        <w:tc>
          <w:tcPr>
            <w:tcW w:w="1110" w:type="dxa"/>
          </w:tcPr>
          <w:p w14:paraId="15910ACC" w14:textId="0C237C72" w:rsidR="007F0368" w:rsidRPr="00750DA3" w:rsidRDefault="00750DA3" w:rsidP="00750DA3">
            <w:pPr>
              <w:pStyle w:val="BulletedListLevel1"/>
              <w:numPr>
                <w:ilvl w:val="0"/>
                <w:numId w:val="0"/>
              </w:numPr>
              <w:tabs>
                <w:tab w:val="clear" w:pos="1134"/>
                <w:tab w:val="left" w:pos="567"/>
              </w:tabs>
              <w:spacing w:after="0" w:line="240" w:lineRule="auto"/>
              <w:jc w:val="center"/>
              <w:rPr>
                <w:sz w:val="20"/>
                <w:szCs w:val="20"/>
              </w:rPr>
            </w:pPr>
            <w:r>
              <w:rPr>
                <w:sz w:val="20"/>
                <w:szCs w:val="20"/>
              </w:rPr>
              <w:t>8.8</w:t>
            </w:r>
          </w:p>
        </w:tc>
        <w:tc>
          <w:tcPr>
            <w:tcW w:w="974" w:type="dxa"/>
          </w:tcPr>
          <w:p w14:paraId="7857E14A" w14:textId="7BB8B24C" w:rsidR="007F0368" w:rsidRPr="00750DA3" w:rsidRDefault="00750DA3" w:rsidP="00750DA3">
            <w:pPr>
              <w:pStyle w:val="BulletedListLevel1"/>
              <w:numPr>
                <w:ilvl w:val="0"/>
                <w:numId w:val="0"/>
              </w:numPr>
              <w:tabs>
                <w:tab w:val="clear" w:pos="1134"/>
                <w:tab w:val="left" w:pos="567"/>
              </w:tabs>
              <w:spacing w:after="0" w:line="240" w:lineRule="auto"/>
              <w:jc w:val="center"/>
              <w:rPr>
                <w:sz w:val="20"/>
                <w:szCs w:val="20"/>
              </w:rPr>
            </w:pPr>
            <w:r>
              <w:rPr>
                <w:sz w:val="20"/>
                <w:szCs w:val="20"/>
              </w:rPr>
              <w:t>11.4</w:t>
            </w:r>
          </w:p>
        </w:tc>
      </w:tr>
    </w:tbl>
    <w:p w14:paraId="340770A1" w14:textId="77777777" w:rsidR="00AF354F" w:rsidRDefault="00AF354F" w:rsidP="00AF354F">
      <w:pPr>
        <w:pStyle w:val="BulletedListLevel1"/>
        <w:numPr>
          <w:ilvl w:val="0"/>
          <w:numId w:val="49"/>
        </w:numPr>
        <w:tabs>
          <w:tab w:val="left" w:pos="720"/>
        </w:tabs>
        <w:spacing w:before="120" w:line="260" w:lineRule="atLeast"/>
        <w:ind w:left="425" w:hanging="425"/>
      </w:pPr>
      <w:r>
        <w:t>However, the Tasmanian rate of opioid dispensing in 2016-17 at 76 353 per 100 000 population was the highest of all Australian states and territories and well above the Australian average of 58 595 per 100 000 population.  The age standardised rate of defined daily doses of opioid medicines in Tasmania was 25.48 per 1 000 population per day, also the highest of all states and territories and well above the National rate of 15.39 per 1 000 population per day (ACSQHC, 2019).</w:t>
      </w:r>
    </w:p>
    <w:p w14:paraId="5B913C34" w14:textId="77777777" w:rsidR="007D2E3F" w:rsidRPr="00FE2E1C" w:rsidRDefault="007D2E3F" w:rsidP="00996CFE">
      <w:pPr>
        <w:pStyle w:val="Heading3"/>
        <w:rPr>
          <w:sz w:val="24"/>
          <w:szCs w:val="24"/>
        </w:rPr>
      </w:pPr>
      <w:r w:rsidRPr="00FE2E1C">
        <w:rPr>
          <w:sz w:val="24"/>
          <w:szCs w:val="24"/>
        </w:rPr>
        <w:t>Emergency department and hospitals data</w:t>
      </w:r>
    </w:p>
    <w:p w14:paraId="6DBF7260" w14:textId="77777777" w:rsidR="007D2E3F" w:rsidRDefault="007D2E3F" w:rsidP="00750DA3">
      <w:pPr>
        <w:pStyle w:val="ListParagraph"/>
        <w:widowControl w:val="0"/>
        <w:numPr>
          <w:ilvl w:val="0"/>
          <w:numId w:val="28"/>
        </w:numPr>
        <w:spacing w:before="0" w:after="140" w:line="260" w:lineRule="atLeast"/>
        <w:ind w:left="425" w:hanging="425"/>
        <w:contextualSpacing w:val="0"/>
        <w:jc w:val="left"/>
        <w:rPr>
          <w:rFonts w:ascii="Gill Sans MT" w:hAnsi="Gill Sans MT"/>
          <w:sz w:val="22"/>
          <w:lang w:eastAsia="en-AU"/>
        </w:rPr>
      </w:pPr>
      <w:r w:rsidRPr="00AB741A">
        <w:rPr>
          <w:rFonts w:ascii="Gill Sans MT" w:hAnsi="Gill Sans MT"/>
          <w:sz w:val="22"/>
        </w:rPr>
        <w:t>Estimating the true number of Emergency Department (ED) presentations secondary to alcohol</w:t>
      </w:r>
      <w:r>
        <w:rPr>
          <w:rFonts w:ascii="Gill Sans MT" w:hAnsi="Gill Sans MT"/>
          <w:sz w:val="22"/>
        </w:rPr>
        <w:t xml:space="preserve"> or drugs related </w:t>
      </w:r>
      <w:r w:rsidRPr="00AB741A">
        <w:rPr>
          <w:rFonts w:ascii="Gill Sans MT" w:hAnsi="Gill Sans MT"/>
          <w:sz w:val="22"/>
        </w:rPr>
        <w:t xml:space="preserve">harm is challenging </w:t>
      </w:r>
      <w:r>
        <w:rPr>
          <w:rFonts w:ascii="Gill Sans MT" w:hAnsi="Gill Sans MT"/>
          <w:sz w:val="22"/>
        </w:rPr>
        <w:t>because</w:t>
      </w:r>
      <w:r w:rsidRPr="00AB741A">
        <w:rPr>
          <w:rFonts w:ascii="Gill Sans MT" w:hAnsi="Gill Sans MT"/>
          <w:sz w:val="22"/>
        </w:rPr>
        <w:t xml:space="preserve"> presentations are not always coded as being alcohol </w:t>
      </w:r>
      <w:r>
        <w:rPr>
          <w:rFonts w:ascii="Gill Sans MT" w:hAnsi="Gill Sans MT"/>
          <w:sz w:val="22"/>
        </w:rPr>
        <w:t xml:space="preserve">or drug </w:t>
      </w:r>
      <w:r w:rsidRPr="00AB741A">
        <w:rPr>
          <w:rFonts w:ascii="Gill Sans MT" w:hAnsi="Gill Sans MT"/>
          <w:sz w:val="22"/>
        </w:rPr>
        <w:t>related. Using a ‘primary diagnosis’ only, it is estimated that 0.5 per cent of all ED presentations in Tasmania are alcohol related</w:t>
      </w:r>
      <w:r>
        <w:rPr>
          <w:rFonts w:ascii="Gill Sans MT" w:hAnsi="Gill Sans MT"/>
          <w:sz w:val="22"/>
        </w:rPr>
        <w:t>.</w:t>
      </w:r>
      <w:r w:rsidRPr="00AB741A">
        <w:rPr>
          <w:rFonts w:ascii="Gill Sans MT" w:hAnsi="Gill Sans MT"/>
          <w:sz w:val="22"/>
        </w:rPr>
        <w:t xml:space="preserve"> </w:t>
      </w:r>
      <w:r w:rsidRPr="00AB741A">
        <w:rPr>
          <w:rFonts w:ascii="Gill Sans MT" w:hAnsi="Gill Sans MT"/>
          <w:iCs/>
          <w:sz w:val="22"/>
          <w:lang w:eastAsia="en-AU"/>
        </w:rPr>
        <w:t>National studies in which more detailed assessment occurs reveal that approximately 8.3 per cent overall and 12 per cent at peak times of ED presentations are alcohol related</w:t>
      </w:r>
      <w:r w:rsidRPr="00767B80">
        <w:rPr>
          <w:noProof/>
          <w:sz w:val="20"/>
          <w:szCs w:val="20"/>
        </w:rPr>
        <w:t xml:space="preserve"> </w:t>
      </w:r>
      <w:r>
        <w:rPr>
          <w:noProof/>
          <w:sz w:val="20"/>
          <w:szCs w:val="20"/>
        </w:rPr>
        <w:t>(</w:t>
      </w:r>
      <w:r w:rsidRPr="00767B80">
        <w:rPr>
          <w:rFonts w:ascii="Gill Sans MT" w:hAnsi="Gill Sans MT"/>
          <w:noProof/>
          <w:sz w:val="22"/>
        </w:rPr>
        <w:t>Australian College for Emergency Medicine</w:t>
      </w:r>
      <w:r>
        <w:rPr>
          <w:rFonts w:ascii="Gill Sans MT" w:hAnsi="Gill Sans MT"/>
          <w:noProof/>
          <w:sz w:val="22"/>
        </w:rPr>
        <w:t>,</w:t>
      </w:r>
      <w:r w:rsidRPr="00767B80">
        <w:rPr>
          <w:rFonts w:ascii="Gill Sans MT" w:hAnsi="Gill Sans MT"/>
          <w:noProof/>
          <w:sz w:val="22"/>
        </w:rPr>
        <w:t xml:space="preserve"> 2016 and Egerton-Warburton D, et al 2014</w:t>
      </w:r>
      <w:r>
        <w:rPr>
          <w:rFonts w:ascii="Gill Sans MT" w:hAnsi="Gill Sans MT"/>
          <w:noProof/>
          <w:sz w:val="22"/>
        </w:rPr>
        <w:t xml:space="preserve">).  </w:t>
      </w:r>
    </w:p>
    <w:p w14:paraId="6493C4C2" w14:textId="77777777" w:rsidR="007D2E3F" w:rsidRDefault="007D2E3F" w:rsidP="00FE2E1C">
      <w:pPr>
        <w:pStyle w:val="ListParagraph"/>
        <w:widowControl w:val="0"/>
        <w:numPr>
          <w:ilvl w:val="0"/>
          <w:numId w:val="28"/>
        </w:numPr>
        <w:spacing w:before="0" w:after="140" w:line="260" w:lineRule="atLeast"/>
        <w:ind w:left="426" w:hanging="426"/>
        <w:contextualSpacing w:val="0"/>
        <w:jc w:val="left"/>
        <w:rPr>
          <w:rFonts w:ascii="Gill Sans MT" w:hAnsi="Gill Sans MT"/>
          <w:sz w:val="22"/>
          <w:lang w:eastAsia="en-AU"/>
        </w:rPr>
      </w:pPr>
      <w:r>
        <w:rPr>
          <w:rFonts w:ascii="Gill Sans MT" w:hAnsi="Gill Sans MT"/>
          <w:noProof/>
          <w:sz w:val="22"/>
        </w:rPr>
        <w:t>Primary diagnosis for alcohol or drug presentations to the Emergency Department, Royal Hobart Hospital for the period 2017 to March 2019:</w:t>
      </w:r>
    </w:p>
    <w:tbl>
      <w:tblPr>
        <w:tblW w:w="8080" w:type="dxa"/>
        <w:jc w:val="center"/>
        <w:tblLayout w:type="fixed"/>
        <w:tblLook w:val="04A0" w:firstRow="1" w:lastRow="0" w:firstColumn="1" w:lastColumn="0" w:noHBand="0" w:noVBand="1"/>
      </w:tblPr>
      <w:tblGrid>
        <w:gridCol w:w="426"/>
        <w:gridCol w:w="680"/>
        <w:gridCol w:w="2712"/>
        <w:gridCol w:w="962"/>
        <w:gridCol w:w="963"/>
        <w:gridCol w:w="963"/>
        <w:gridCol w:w="427"/>
        <w:gridCol w:w="947"/>
      </w:tblGrid>
      <w:tr w:rsidR="007D2E3F" w:rsidRPr="00F45B81" w14:paraId="26FE2E04" w14:textId="77777777" w:rsidTr="00120503">
        <w:trPr>
          <w:trHeight w:val="735"/>
          <w:tblHeader/>
          <w:jc w:val="center"/>
        </w:trPr>
        <w:tc>
          <w:tcPr>
            <w:tcW w:w="110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3F0384C" w14:textId="77777777" w:rsidR="007D2E3F" w:rsidRPr="00F45B81" w:rsidRDefault="007D2E3F" w:rsidP="00B542EE">
            <w:pPr>
              <w:spacing w:before="60" w:after="60" w:line="240" w:lineRule="auto"/>
              <w:jc w:val="center"/>
              <w:rPr>
                <w:rFonts w:cs="Calibri"/>
                <w:b/>
                <w:bCs/>
                <w:sz w:val="20"/>
                <w:szCs w:val="20"/>
              </w:rPr>
            </w:pPr>
            <w:r w:rsidRPr="00F45B81">
              <w:rPr>
                <w:rFonts w:cs="Calibri"/>
                <w:b/>
                <w:bCs/>
                <w:sz w:val="20"/>
                <w:szCs w:val="20"/>
              </w:rPr>
              <w:t xml:space="preserve">RHH </w:t>
            </w:r>
            <w:r w:rsidRPr="00F45B81">
              <w:rPr>
                <w:rFonts w:cs="Calibri"/>
                <w:b/>
                <w:bCs/>
                <w:color w:val="000000"/>
                <w:sz w:val="20"/>
                <w:szCs w:val="20"/>
              </w:rPr>
              <w:t>Diagnosis Code</w:t>
            </w:r>
          </w:p>
        </w:tc>
        <w:tc>
          <w:tcPr>
            <w:tcW w:w="2712" w:type="dxa"/>
            <w:tcBorders>
              <w:top w:val="single" w:sz="8" w:space="0" w:color="auto"/>
              <w:left w:val="nil"/>
              <w:bottom w:val="single" w:sz="8" w:space="0" w:color="auto"/>
              <w:right w:val="single" w:sz="8" w:space="0" w:color="auto"/>
            </w:tcBorders>
            <w:shd w:val="clear" w:color="auto" w:fill="auto"/>
            <w:vAlign w:val="center"/>
            <w:hideMark/>
          </w:tcPr>
          <w:p w14:paraId="01AC6BB8" w14:textId="77777777" w:rsidR="007D2E3F" w:rsidRPr="00F45B81" w:rsidRDefault="007D2E3F" w:rsidP="00B542EE">
            <w:pPr>
              <w:spacing w:before="60" w:after="60" w:line="240" w:lineRule="auto"/>
              <w:jc w:val="center"/>
              <w:rPr>
                <w:rFonts w:cs="Calibri"/>
                <w:b/>
                <w:bCs/>
                <w:color w:val="000000"/>
                <w:sz w:val="20"/>
                <w:szCs w:val="20"/>
              </w:rPr>
            </w:pPr>
            <w:r w:rsidRPr="00F45B81">
              <w:rPr>
                <w:rFonts w:cs="Calibri"/>
                <w:b/>
                <w:bCs/>
                <w:color w:val="000000"/>
                <w:sz w:val="20"/>
                <w:szCs w:val="20"/>
              </w:rPr>
              <w:t>Diagnosis Category</w:t>
            </w:r>
          </w:p>
        </w:tc>
        <w:tc>
          <w:tcPr>
            <w:tcW w:w="962" w:type="dxa"/>
            <w:tcBorders>
              <w:top w:val="single" w:sz="8" w:space="0" w:color="auto"/>
              <w:left w:val="nil"/>
              <w:bottom w:val="single" w:sz="8" w:space="0" w:color="auto"/>
              <w:right w:val="single" w:sz="8" w:space="0" w:color="auto"/>
            </w:tcBorders>
            <w:shd w:val="clear" w:color="auto" w:fill="auto"/>
            <w:vAlign w:val="center"/>
            <w:hideMark/>
          </w:tcPr>
          <w:p w14:paraId="4EAD167C" w14:textId="77777777" w:rsidR="007D2E3F" w:rsidRPr="00F45B81" w:rsidRDefault="007D2E3F" w:rsidP="00B542EE">
            <w:pPr>
              <w:spacing w:before="60" w:after="60" w:line="240" w:lineRule="auto"/>
              <w:jc w:val="center"/>
              <w:rPr>
                <w:rFonts w:cs="Calibri"/>
                <w:b/>
                <w:bCs/>
                <w:color w:val="000000"/>
                <w:sz w:val="20"/>
                <w:szCs w:val="20"/>
              </w:rPr>
            </w:pPr>
            <w:r w:rsidRPr="00F45B81">
              <w:rPr>
                <w:rFonts w:cs="Calibri"/>
                <w:b/>
                <w:bCs/>
                <w:color w:val="000000"/>
                <w:sz w:val="20"/>
                <w:szCs w:val="20"/>
              </w:rPr>
              <w:t>2017</w:t>
            </w:r>
          </w:p>
        </w:tc>
        <w:tc>
          <w:tcPr>
            <w:tcW w:w="963" w:type="dxa"/>
            <w:tcBorders>
              <w:top w:val="single" w:sz="8" w:space="0" w:color="auto"/>
              <w:left w:val="nil"/>
              <w:bottom w:val="single" w:sz="8" w:space="0" w:color="auto"/>
              <w:right w:val="single" w:sz="8" w:space="0" w:color="auto"/>
            </w:tcBorders>
            <w:shd w:val="clear" w:color="auto" w:fill="auto"/>
            <w:vAlign w:val="center"/>
            <w:hideMark/>
          </w:tcPr>
          <w:p w14:paraId="61446611" w14:textId="77777777" w:rsidR="007D2E3F" w:rsidRPr="00F45B81" w:rsidRDefault="007D2E3F" w:rsidP="00B542EE">
            <w:pPr>
              <w:spacing w:before="60" w:after="60" w:line="240" w:lineRule="auto"/>
              <w:jc w:val="center"/>
              <w:rPr>
                <w:rFonts w:cs="Calibri"/>
                <w:b/>
                <w:bCs/>
                <w:color w:val="000000"/>
                <w:sz w:val="20"/>
                <w:szCs w:val="20"/>
              </w:rPr>
            </w:pPr>
            <w:r w:rsidRPr="00F45B81">
              <w:rPr>
                <w:rFonts w:cs="Calibri"/>
                <w:b/>
                <w:bCs/>
                <w:color w:val="000000"/>
                <w:sz w:val="20"/>
                <w:szCs w:val="20"/>
              </w:rPr>
              <w:t>2018</w:t>
            </w:r>
          </w:p>
        </w:tc>
        <w:tc>
          <w:tcPr>
            <w:tcW w:w="963" w:type="dxa"/>
            <w:tcBorders>
              <w:top w:val="single" w:sz="8" w:space="0" w:color="auto"/>
              <w:left w:val="nil"/>
              <w:bottom w:val="single" w:sz="8" w:space="0" w:color="auto"/>
              <w:right w:val="single" w:sz="8" w:space="0" w:color="auto"/>
            </w:tcBorders>
            <w:shd w:val="clear" w:color="auto" w:fill="auto"/>
            <w:vAlign w:val="center"/>
            <w:hideMark/>
          </w:tcPr>
          <w:p w14:paraId="180C94E9" w14:textId="77777777" w:rsidR="007D2E3F" w:rsidRPr="00F45B81" w:rsidRDefault="007D2E3F" w:rsidP="00B542EE">
            <w:pPr>
              <w:spacing w:before="60" w:after="60" w:line="240" w:lineRule="auto"/>
              <w:jc w:val="center"/>
              <w:rPr>
                <w:rFonts w:cs="Calibri"/>
                <w:b/>
                <w:bCs/>
                <w:color w:val="000000"/>
                <w:sz w:val="20"/>
                <w:szCs w:val="20"/>
              </w:rPr>
            </w:pPr>
            <w:r w:rsidRPr="00F45B81">
              <w:rPr>
                <w:rFonts w:cs="Calibri"/>
                <w:b/>
                <w:bCs/>
                <w:color w:val="000000"/>
                <w:sz w:val="20"/>
                <w:szCs w:val="20"/>
              </w:rPr>
              <w:t>2019*</w:t>
            </w:r>
          </w:p>
        </w:tc>
        <w:tc>
          <w:tcPr>
            <w:tcW w:w="1374" w:type="dxa"/>
            <w:gridSpan w:val="2"/>
            <w:tcBorders>
              <w:top w:val="single" w:sz="8" w:space="0" w:color="auto"/>
              <w:left w:val="nil"/>
              <w:bottom w:val="single" w:sz="8" w:space="0" w:color="auto"/>
              <w:right w:val="single" w:sz="8" w:space="0" w:color="auto"/>
            </w:tcBorders>
            <w:shd w:val="clear" w:color="auto" w:fill="auto"/>
            <w:vAlign w:val="center"/>
            <w:hideMark/>
          </w:tcPr>
          <w:p w14:paraId="35B9765A" w14:textId="77777777" w:rsidR="007D2E3F" w:rsidRPr="00F45B81" w:rsidRDefault="00307CDF" w:rsidP="00B542EE">
            <w:pPr>
              <w:spacing w:before="60" w:after="60" w:line="240" w:lineRule="auto"/>
              <w:jc w:val="center"/>
              <w:rPr>
                <w:rFonts w:cs="Calibri"/>
                <w:b/>
                <w:bCs/>
                <w:color w:val="000000"/>
                <w:sz w:val="20"/>
                <w:szCs w:val="20"/>
              </w:rPr>
            </w:pPr>
            <w:r w:rsidRPr="00F45B81">
              <w:rPr>
                <w:rFonts w:cs="Calibri"/>
                <w:b/>
                <w:bCs/>
                <w:color w:val="000000"/>
                <w:sz w:val="20"/>
                <w:szCs w:val="20"/>
              </w:rPr>
              <w:t>per cent</w:t>
            </w:r>
            <w:r w:rsidR="007D2E3F" w:rsidRPr="00F45B81">
              <w:rPr>
                <w:rFonts w:cs="Calibri"/>
                <w:b/>
                <w:bCs/>
                <w:color w:val="000000"/>
                <w:sz w:val="20"/>
                <w:szCs w:val="20"/>
              </w:rPr>
              <w:t xml:space="preserve"> Change 2017 to 2018</w:t>
            </w:r>
          </w:p>
        </w:tc>
      </w:tr>
      <w:tr w:rsidR="007D2E3F" w:rsidRPr="00F45B81" w14:paraId="2309A58E" w14:textId="77777777" w:rsidTr="00FE2E1C">
        <w:trPr>
          <w:jc w:val="center"/>
        </w:trPr>
        <w:tc>
          <w:tcPr>
            <w:tcW w:w="1106" w:type="dxa"/>
            <w:gridSpan w:val="2"/>
            <w:tcBorders>
              <w:top w:val="nil"/>
              <w:left w:val="single" w:sz="8" w:space="0" w:color="auto"/>
              <w:bottom w:val="single" w:sz="8" w:space="0" w:color="auto"/>
              <w:right w:val="single" w:sz="8" w:space="0" w:color="auto"/>
            </w:tcBorders>
            <w:shd w:val="clear" w:color="auto" w:fill="auto"/>
            <w:vAlign w:val="center"/>
            <w:hideMark/>
          </w:tcPr>
          <w:p w14:paraId="003828B2"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F10.0</w:t>
            </w:r>
          </w:p>
        </w:tc>
        <w:tc>
          <w:tcPr>
            <w:tcW w:w="2712" w:type="dxa"/>
            <w:tcBorders>
              <w:top w:val="nil"/>
              <w:left w:val="nil"/>
              <w:bottom w:val="single" w:sz="8" w:space="0" w:color="auto"/>
              <w:right w:val="single" w:sz="8" w:space="0" w:color="auto"/>
            </w:tcBorders>
            <w:shd w:val="clear" w:color="auto" w:fill="auto"/>
            <w:vAlign w:val="center"/>
            <w:hideMark/>
          </w:tcPr>
          <w:p w14:paraId="057DF4F5"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Alcohol intoxication</w:t>
            </w:r>
          </w:p>
        </w:tc>
        <w:tc>
          <w:tcPr>
            <w:tcW w:w="962" w:type="dxa"/>
            <w:tcBorders>
              <w:top w:val="nil"/>
              <w:left w:val="nil"/>
              <w:bottom w:val="single" w:sz="8" w:space="0" w:color="auto"/>
              <w:right w:val="single" w:sz="8" w:space="0" w:color="auto"/>
            </w:tcBorders>
            <w:shd w:val="clear" w:color="auto" w:fill="auto"/>
            <w:vAlign w:val="center"/>
            <w:hideMark/>
          </w:tcPr>
          <w:p w14:paraId="4C2B08A3"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348</w:t>
            </w:r>
          </w:p>
        </w:tc>
        <w:tc>
          <w:tcPr>
            <w:tcW w:w="963" w:type="dxa"/>
            <w:tcBorders>
              <w:top w:val="nil"/>
              <w:left w:val="nil"/>
              <w:bottom w:val="single" w:sz="8" w:space="0" w:color="auto"/>
              <w:right w:val="single" w:sz="8" w:space="0" w:color="auto"/>
            </w:tcBorders>
            <w:shd w:val="clear" w:color="auto" w:fill="auto"/>
            <w:vAlign w:val="center"/>
            <w:hideMark/>
          </w:tcPr>
          <w:p w14:paraId="29F72ED1"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332</w:t>
            </w:r>
          </w:p>
        </w:tc>
        <w:tc>
          <w:tcPr>
            <w:tcW w:w="963" w:type="dxa"/>
            <w:tcBorders>
              <w:top w:val="nil"/>
              <w:left w:val="nil"/>
              <w:bottom w:val="single" w:sz="8" w:space="0" w:color="auto"/>
              <w:right w:val="single" w:sz="8" w:space="0" w:color="auto"/>
            </w:tcBorders>
            <w:shd w:val="clear" w:color="auto" w:fill="auto"/>
            <w:vAlign w:val="center"/>
            <w:hideMark/>
          </w:tcPr>
          <w:p w14:paraId="0ACBD435"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69</w:t>
            </w:r>
          </w:p>
        </w:tc>
        <w:tc>
          <w:tcPr>
            <w:tcW w:w="1374" w:type="dxa"/>
            <w:gridSpan w:val="2"/>
            <w:tcBorders>
              <w:top w:val="nil"/>
              <w:left w:val="nil"/>
              <w:bottom w:val="single" w:sz="8" w:space="0" w:color="auto"/>
              <w:right w:val="single" w:sz="8" w:space="0" w:color="auto"/>
            </w:tcBorders>
            <w:shd w:val="clear" w:color="auto" w:fill="auto"/>
            <w:vAlign w:val="center"/>
            <w:hideMark/>
          </w:tcPr>
          <w:p w14:paraId="4898A548"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-4.60</w:t>
            </w:r>
            <w:r w:rsidR="00307CDF" w:rsidRPr="00F45B81">
              <w:rPr>
                <w:rFonts w:cs="Calibri"/>
                <w:color w:val="000000"/>
                <w:sz w:val="20"/>
                <w:szCs w:val="20"/>
              </w:rPr>
              <w:t xml:space="preserve"> per cent</w:t>
            </w:r>
          </w:p>
        </w:tc>
      </w:tr>
      <w:tr w:rsidR="007D2E3F" w:rsidRPr="00F45B81" w14:paraId="51BC5F54" w14:textId="77777777" w:rsidTr="00FE2E1C">
        <w:trPr>
          <w:jc w:val="center"/>
        </w:trPr>
        <w:tc>
          <w:tcPr>
            <w:tcW w:w="1106" w:type="dxa"/>
            <w:gridSpan w:val="2"/>
            <w:tcBorders>
              <w:top w:val="nil"/>
              <w:left w:val="single" w:sz="8" w:space="0" w:color="auto"/>
              <w:bottom w:val="single" w:sz="8" w:space="0" w:color="auto"/>
              <w:right w:val="single" w:sz="8" w:space="0" w:color="auto"/>
            </w:tcBorders>
            <w:shd w:val="clear" w:color="auto" w:fill="auto"/>
            <w:vAlign w:val="center"/>
            <w:hideMark/>
          </w:tcPr>
          <w:p w14:paraId="44210FBA"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F19.0</w:t>
            </w:r>
          </w:p>
        </w:tc>
        <w:tc>
          <w:tcPr>
            <w:tcW w:w="2712" w:type="dxa"/>
            <w:tcBorders>
              <w:top w:val="nil"/>
              <w:left w:val="nil"/>
              <w:bottom w:val="single" w:sz="8" w:space="0" w:color="auto"/>
              <w:right w:val="single" w:sz="8" w:space="0" w:color="auto"/>
            </w:tcBorders>
            <w:shd w:val="clear" w:color="auto" w:fill="auto"/>
            <w:vAlign w:val="center"/>
            <w:hideMark/>
          </w:tcPr>
          <w:p w14:paraId="436535ED"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Intoxication due to multiple / unspecified drugs</w:t>
            </w:r>
          </w:p>
        </w:tc>
        <w:tc>
          <w:tcPr>
            <w:tcW w:w="962" w:type="dxa"/>
            <w:tcBorders>
              <w:top w:val="nil"/>
              <w:left w:val="nil"/>
              <w:bottom w:val="single" w:sz="8" w:space="0" w:color="auto"/>
              <w:right w:val="single" w:sz="8" w:space="0" w:color="auto"/>
            </w:tcBorders>
            <w:shd w:val="clear" w:color="auto" w:fill="auto"/>
            <w:vAlign w:val="center"/>
            <w:hideMark/>
          </w:tcPr>
          <w:p w14:paraId="1CD29965"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95</w:t>
            </w:r>
          </w:p>
        </w:tc>
        <w:tc>
          <w:tcPr>
            <w:tcW w:w="963" w:type="dxa"/>
            <w:tcBorders>
              <w:top w:val="nil"/>
              <w:left w:val="nil"/>
              <w:bottom w:val="single" w:sz="8" w:space="0" w:color="auto"/>
              <w:right w:val="single" w:sz="8" w:space="0" w:color="auto"/>
            </w:tcBorders>
            <w:shd w:val="clear" w:color="auto" w:fill="auto"/>
            <w:vAlign w:val="center"/>
            <w:hideMark/>
          </w:tcPr>
          <w:p w14:paraId="5653786E"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86</w:t>
            </w:r>
          </w:p>
        </w:tc>
        <w:tc>
          <w:tcPr>
            <w:tcW w:w="963" w:type="dxa"/>
            <w:tcBorders>
              <w:top w:val="nil"/>
              <w:left w:val="nil"/>
              <w:bottom w:val="single" w:sz="8" w:space="0" w:color="auto"/>
              <w:right w:val="single" w:sz="8" w:space="0" w:color="auto"/>
            </w:tcBorders>
            <w:shd w:val="clear" w:color="auto" w:fill="auto"/>
            <w:vAlign w:val="center"/>
            <w:hideMark/>
          </w:tcPr>
          <w:p w14:paraId="5B3FEB67"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25</w:t>
            </w:r>
          </w:p>
        </w:tc>
        <w:tc>
          <w:tcPr>
            <w:tcW w:w="1374" w:type="dxa"/>
            <w:gridSpan w:val="2"/>
            <w:tcBorders>
              <w:top w:val="nil"/>
              <w:left w:val="nil"/>
              <w:bottom w:val="single" w:sz="8" w:space="0" w:color="auto"/>
              <w:right w:val="single" w:sz="8" w:space="0" w:color="auto"/>
            </w:tcBorders>
            <w:shd w:val="clear" w:color="auto" w:fill="auto"/>
            <w:vAlign w:val="center"/>
            <w:hideMark/>
          </w:tcPr>
          <w:p w14:paraId="3E36A749"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-9.47</w:t>
            </w:r>
            <w:r w:rsidR="00307CDF" w:rsidRPr="00F45B81">
              <w:rPr>
                <w:rFonts w:cs="Calibri"/>
                <w:color w:val="000000"/>
                <w:sz w:val="20"/>
                <w:szCs w:val="20"/>
              </w:rPr>
              <w:t xml:space="preserve"> per cent</w:t>
            </w:r>
          </w:p>
        </w:tc>
      </w:tr>
      <w:tr w:rsidR="007D2E3F" w:rsidRPr="00F45B81" w14:paraId="5AE30473" w14:textId="77777777" w:rsidTr="00FE2E1C">
        <w:trPr>
          <w:jc w:val="center"/>
        </w:trPr>
        <w:tc>
          <w:tcPr>
            <w:tcW w:w="1106" w:type="dxa"/>
            <w:gridSpan w:val="2"/>
            <w:tcBorders>
              <w:top w:val="nil"/>
              <w:left w:val="single" w:sz="8" w:space="0" w:color="auto"/>
              <w:bottom w:val="single" w:sz="8" w:space="0" w:color="auto"/>
              <w:right w:val="single" w:sz="8" w:space="0" w:color="auto"/>
            </w:tcBorders>
            <w:shd w:val="clear" w:color="auto" w:fill="auto"/>
            <w:vAlign w:val="center"/>
            <w:hideMark/>
          </w:tcPr>
          <w:p w14:paraId="42A2021E"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lastRenderedPageBreak/>
              <w:t>F10.3</w:t>
            </w:r>
          </w:p>
        </w:tc>
        <w:tc>
          <w:tcPr>
            <w:tcW w:w="2712" w:type="dxa"/>
            <w:tcBorders>
              <w:top w:val="nil"/>
              <w:left w:val="nil"/>
              <w:bottom w:val="single" w:sz="8" w:space="0" w:color="auto"/>
              <w:right w:val="single" w:sz="8" w:space="0" w:color="auto"/>
            </w:tcBorders>
            <w:shd w:val="clear" w:color="auto" w:fill="auto"/>
            <w:vAlign w:val="center"/>
            <w:hideMark/>
          </w:tcPr>
          <w:p w14:paraId="5C380240"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Alcohol withdrawal</w:t>
            </w:r>
          </w:p>
        </w:tc>
        <w:tc>
          <w:tcPr>
            <w:tcW w:w="962" w:type="dxa"/>
            <w:tcBorders>
              <w:top w:val="nil"/>
              <w:left w:val="nil"/>
              <w:bottom w:val="single" w:sz="8" w:space="0" w:color="auto"/>
              <w:right w:val="single" w:sz="8" w:space="0" w:color="auto"/>
            </w:tcBorders>
            <w:shd w:val="clear" w:color="auto" w:fill="auto"/>
            <w:vAlign w:val="center"/>
            <w:hideMark/>
          </w:tcPr>
          <w:p w14:paraId="6BBB4AC8"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71</w:t>
            </w:r>
          </w:p>
        </w:tc>
        <w:tc>
          <w:tcPr>
            <w:tcW w:w="963" w:type="dxa"/>
            <w:tcBorders>
              <w:top w:val="nil"/>
              <w:left w:val="nil"/>
              <w:bottom w:val="single" w:sz="8" w:space="0" w:color="auto"/>
              <w:right w:val="single" w:sz="8" w:space="0" w:color="auto"/>
            </w:tcBorders>
            <w:shd w:val="clear" w:color="auto" w:fill="auto"/>
            <w:vAlign w:val="center"/>
            <w:hideMark/>
          </w:tcPr>
          <w:p w14:paraId="0B30CC53"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73</w:t>
            </w:r>
          </w:p>
        </w:tc>
        <w:tc>
          <w:tcPr>
            <w:tcW w:w="963" w:type="dxa"/>
            <w:tcBorders>
              <w:top w:val="nil"/>
              <w:left w:val="nil"/>
              <w:bottom w:val="single" w:sz="8" w:space="0" w:color="auto"/>
              <w:right w:val="single" w:sz="8" w:space="0" w:color="auto"/>
            </w:tcBorders>
            <w:shd w:val="clear" w:color="auto" w:fill="auto"/>
            <w:vAlign w:val="center"/>
            <w:hideMark/>
          </w:tcPr>
          <w:p w14:paraId="6A1B54C1"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13</w:t>
            </w:r>
          </w:p>
        </w:tc>
        <w:tc>
          <w:tcPr>
            <w:tcW w:w="1374" w:type="dxa"/>
            <w:gridSpan w:val="2"/>
            <w:tcBorders>
              <w:top w:val="nil"/>
              <w:left w:val="nil"/>
              <w:bottom w:val="single" w:sz="8" w:space="0" w:color="auto"/>
              <w:right w:val="single" w:sz="8" w:space="0" w:color="auto"/>
            </w:tcBorders>
            <w:shd w:val="clear" w:color="auto" w:fill="auto"/>
            <w:vAlign w:val="center"/>
            <w:hideMark/>
          </w:tcPr>
          <w:p w14:paraId="358F70B1"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2.82</w:t>
            </w:r>
            <w:r w:rsidR="00307CDF" w:rsidRPr="00F45B81">
              <w:rPr>
                <w:rFonts w:cs="Calibri"/>
                <w:color w:val="000000"/>
                <w:sz w:val="20"/>
                <w:szCs w:val="20"/>
              </w:rPr>
              <w:t xml:space="preserve"> per cent</w:t>
            </w:r>
          </w:p>
        </w:tc>
      </w:tr>
      <w:tr w:rsidR="007D2E3F" w:rsidRPr="00F45B81" w14:paraId="6744A63E" w14:textId="77777777" w:rsidTr="00FE2E1C">
        <w:trPr>
          <w:jc w:val="center"/>
        </w:trPr>
        <w:tc>
          <w:tcPr>
            <w:tcW w:w="1106" w:type="dxa"/>
            <w:gridSpan w:val="2"/>
            <w:tcBorders>
              <w:top w:val="nil"/>
              <w:left w:val="single" w:sz="8" w:space="0" w:color="auto"/>
              <w:bottom w:val="single" w:sz="8" w:space="0" w:color="auto"/>
              <w:right w:val="single" w:sz="8" w:space="0" w:color="auto"/>
            </w:tcBorders>
            <w:shd w:val="clear" w:color="auto" w:fill="auto"/>
            <w:vAlign w:val="center"/>
            <w:hideMark/>
          </w:tcPr>
          <w:p w14:paraId="522E9AED"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F10.9</w:t>
            </w:r>
          </w:p>
        </w:tc>
        <w:tc>
          <w:tcPr>
            <w:tcW w:w="2712" w:type="dxa"/>
            <w:tcBorders>
              <w:top w:val="nil"/>
              <w:left w:val="nil"/>
              <w:bottom w:val="single" w:sz="8" w:space="0" w:color="auto"/>
              <w:right w:val="single" w:sz="8" w:space="0" w:color="auto"/>
            </w:tcBorders>
            <w:shd w:val="clear" w:color="auto" w:fill="auto"/>
            <w:vAlign w:val="center"/>
            <w:hideMark/>
          </w:tcPr>
          <w:p w14:paraId="60FA4632"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Behavioural disorder due to alcohol (not intoxication)</w:t>
            </w:r>
          </w:p>
        </w:tc>
        <w:tc>
          <w:tcPr>
            <w:tcW w:w="962" w:type="dxa"/>
            <w:tcBorders>
              <w:top w:val="nil"/>
              <w:left w:val="nil"/>
              <w:bottom w:val="single" w:sz="8" w:space="0" w:color="auto"/>
              <w:right w:val="single" w:sz="8" w:space="0" w:color="auto"/>
            </w:tcBorders>
            <w:shd w:val="clear" w:color="auto" w:fill="auto"/>
            <w:vAlign w:val="center"/>
            <w:hideMark/>
          </w:tcPr>
          <w:p w14:paraId="7C63CCAB"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31</w:t>
            </w:r>
          </w:p>
        </w:tc>
        <w:tc>
          <w:tcPr>
            <w:tcW w:w="963" w:type="dxa"/>
            <w:tcBorders>
              <w:top w:val="nil"/>
              <w:left w:val="nil"/>
              <w:bottom w:val="single" w:sz="8" w:space="0" w:color="auto"/>
              <w:right w:val="single" w:sz="8" w:space="0" w:color="auto"/>
            </w:tcBorders>
            <w:shd w:val="clear" w:color="auto" w:fill="auto"/>
            <w:vAlign w:val="center"/>
            <w:hideMark/>
          </w:tcPr>
          <w:p w14:paraId="1BAFBA87"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25</w:t>
            </w:r>
          </w:p>
        </w:tc>
        <w:tc>
          <w:tcPr>
            <w:tcW w:w="963" w:type="dxa"/>
            <w:tcBorders>
              <w:top w:val="nil"/>
              <w:left w:val="nil"/>
              <w:bottom w:val="single" w:sz="8" w:space="0" w:color="auto"/>
              <w:right w:val="single" w:sz="8" w:space="0" w:color="auto"/>
            </w:tcBorders>
            <w:shd w:val="clear" w:color="auto" w:fill="auto"/>
            <w:vAlign w:val="center"/>
            <w:hideMark/>
          </w:tcPr>
          <w:p w14:paraId="3F939101"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7</w:t>
            </w:r>
          </w:p>
        </w:tc>
        <w:tc>
          <w:tcPr>
            <w:tcW w:w="1374" w:type="dxa"/>
            <w:gridSpan w:val="2"/>
            <w:tcBorders>
              <w:top w:val="nil"/>
              <w:left w:val="nil"/>
              <w:bottom w:val="single" w:sz="8" w:space="0" w:color="auto"/>
              <w:right w:val="single" w:sz="8" w:space="0" w:color="auto"/>
            </w:tcBorders>
            <w:shd w:val="clear" w:color="auto" w:fill="auto"/>
            <w:vAlign w:val="center"/>
            <w:hideMark/>
          </w:tcPr>
          <w:p w14:paraId="1B2EA38A"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-19.35</w:t>
            </w:r>
            <w:r w:rsidR="00307CDF" w:rsidRPr="00F45B81">
              <w:rPr>
                <w:rFonts w:cs="Calibri"/>
                <w:color w:val="000000"/>
                <w:sz w:val="20"/>
                <w:szCs w:val="20"/>
              </w:rPr>
              <w:t xml:space="preserve"> per cent</w:t>
            </w:r>
          </w:p>
        </w:tc>
      </w:tr>
      <w:tr w:rsidR="007D2E3F" w:rsidRPr="00F45B81" w14:paraId="24CDC636" w14:textId="77777777" w:rsidTr="00FE2E1C">
        <w:trPr>
          <w:jc w:val="center"/>
        </w:trPr>
        <w:tc>
          <w:tcPr>
            <w:tcW w:w="1106" w:type="dxa"/>
            <w:gridSpan w:val="2"/>
            <w:tcBorders>
              <w:top w:val="nil"/>
              <w:left w:val="single" w:sz="8" w:space="0" w:color="auto"/>
              <w:bottom w:val="single" w:sz="8" w:space="0" w:color="auto"/>
              <w:right w:val="single" w:sz="8" w:space="0" w:color="auto"/>
            </w:tcBorders>
            <w:shd w:val="clear" w:color="auto" w:fill="auto"/>
            <w:vAlign w:val="center"/>
            <w:hideMark/>
          </w:tcPr>
          <w:p w14:paraId="4FAA92CE"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T50.9</w:t>
            </w:r>
          </w:p>
        </w:tc>
        <w:tc>
          <w:tcPr>
            <w:tcW w:w="2712" w:type="dxa"/>
            <w:tcBorders>
              <w:top w:val="nil"/>
              <w:left w:val="nil"/>
              <w:bottom w:val="single" w:sz="8" w:space="0" w:color="auto"/>
              <w:right w:val="single" w:sz="8" w:space="0" w:color="auto"/>
            </w:tcBorders>
            <w:shd w:val="clear" w:color="auto" w:fill="auto"/>
            <w:vAlign w:val="center"/>
            <w:hideMark/>
          </w:tcPr>
          <w:p w14:paraId="5DCED375"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Overdose, Multiple / Unknown Drugs NOS</w:t>
            </w:r>
          </w:p>
        </w:tc>
        <w:tc>
          <w:tcPr>
            <w:tcW w:w="962" w:type="dxa"/>
            <w:tcBorders>
              <w:top w:val="nil"/>
              <w:left w:val="nil"/>
              <w:bottom w:val="single" w:sz="8" w:space="0" w:color="auto"/>
              <w:right w:val="single" w:sz="8" w:space="0" w:color="auto"/>
            </w:tcBorders>
            <w:shd w:val="clear" w:color="auto" w:fill="auto"/>
            <w:vAlign w:val="center"/>
            <w:hideMark/>
          </w:tcPr>
          <w:p w14:paraId="62931B8C"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9</w:t>
            </w:r>
          </w:p>
        </w:tc>
        <w:tc>
          <w:tcPr>
            <w:tcW w:w="963" w:type="dxa"/>
            <w:tcBorders>
              <w:top w:val="nil"/>
              <w:left w:val="nil"/>
              <w:bottom w:val="single" w:sz="8" w:space="0" w:color="auto"/>
              <w:right w:val="single" w:sz="8" w:space="0" w:color="auto"/>
            </w:tcBorders>
            <w:shd w:val="clear" w:color="auto" w:fill="auto"/>
            <w:vAlign w:val="center"/>
            <w:hideMark/>
          </w:tcPr>
          <w:p w14:paraId="4094C737"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25</w:t>
            </w:r>
          </w:p>
        </w:tc>
        <w:tc>
          <w:tcPr>
            <w:tcW w:w="963" w:type="dxa"/>
            <w:tcBorders>
              <w:top w:val="nil"/>
              <w:left w:val="nil"/>
              <w:bottom w:val="single" w:sz="8" w:space="0" w:color="auto"/>
              <w:right w:val="single" w:sz="8" w:space="0" w:color="auto"/>
            </w:tcBorders>
            <w:shd w:val="clear" w:color="auto" w:fill="auto"/>
            <w:vAlign w:val="center"/>
            <w:hideMark/>
          </w:tcPr>
          <w:p w14:paraId="26AB5E67"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8</w:t>
            </w:r>
          </w:p>
        </w:tc>
        <w:tc>
          <w:tcPr>
            <w:tcW w:w="1374" w:type="dxa"/>
            <w:gridSpan w:val="2"/>
            <w:tcBorders>
              <w:top w:val="nil"/>
              <w:left w:val="nil"/>
              <w:bottom w:val="single" w:sz="8" w:space="0" w:color="auto"/>
              <w:right w:val="single" w:sz="8" w:space="0" w:color="auto"/>
            </w:tcBorders>
            <w:shd w:val="clear" w:color="auto" w:fill="auto"/>
            <w:vAlign w:val="center"/>
            <w:hideMark/>
          </w:tcPr>
          <w:p w14:paraId="17514B98" w14:textId="77777777" w:rsidR="007D2E3F" w:rsidRPr="00F45B81" w:rsidRDefault="007D2E3F" w:rsidP="00B542EE">
            <w:pPr>
              <w:spacing w:before="60" w:after="60" w:line="240" w:lineRule="auto"/>
              <w:jc w:val="center"/>
              <w:rPr>
                <w:rFonts w:cs="Calibri"/>
                <w:color w:val="000000"/>
                <w:sz w:val="20"/>
                <w:szCs w:val="20"/>
              </w:rPr>
            </w:pPr>
            <w:r w:rsidRPr="00F45B81">
              <w:rPr>
                <w:rFonts w:cs="Calibri"/>
                <w:color w:val="000000"/>
                <w:sz w:val="20"/>
                <w:szCs w:val="20"/>
              </w:rPr>
              <w:t>177.78</w:t>
            </w:r>
            <w:r w:rsidR="00307CDF" w:rsidRPr="00F45B81">
              <w:rPr>
                <w:rFonts w:cs="Calibri"/>
                <w:color w:val="000000"/>
                <w:sz w:val="20"/>
                <w:szCs w:val="20"/>
              </w:rPr>
              <w:t xml:space="preserve"> per cent</w:t>
            </w:r>
          </w:p>
        </w:tc>
      </w:tr>
      <w:tr w:rsidR="00FE2E1C" w:rsidRPr="00F45B81" w14:paraId="042C05A5" w14:textId="77777777" w:rsidTr="00FE2E1C">
        <w:trPr>
          <w:gridBefore w:val="1"/>
          <w:gridAfter w:val="1"/>
          <w:wBefore w:w="426" w:type="dxa"/>
          <w:wAfter w:w="947" w:type="dxa"/>
          <w:trHeight w:val="330"/>
          <w:jc w:val="center"/>
        </w:trPr>
        <w:tc>
          <w:tcPr>
            <w:tcW w:w="6707" w:type="dxa"/>
            <w:gridSpan w:val="6"/>
            <w:tcBorders>
              <w:top w:val="nil"/>
              <w:left w:val="nil"/>
              <w:bottom w:val="nil"/>
              <w:right w:val="nil"/>
            </w:tcBorders>
            <w:shd w:val="clear" w:color="auto" w:fill="auto"/>
            <w:noWrap/>
            <w:vAlign w:val="bottom"/>
            <w:hideMark/>
          </w:tcPr>
          <w:p w14:paraId="53C33DF0" w14:textId="29F57840" w:rsidR="00FE2E1C" w:rsidRPr="00F45B81" w:rsidRDefault="00FE2E1C" w:rsidP="007D2E3F">
            <w:pPr>
              <w:spacing w:after="0" w:line="240" w:lineRule="auto"/>
              <w:rPr>
                <w:sz w:val="20"/>
                <w:szCs w:val="20"/>
              </w:rPr>
            </w:pPr>
            <w:r w:rsidRPr="00F45B81">
              <w:rPr>
                <w:rFonts w:cs="Calibri"/>
                <w:i/>
                <w:iCs/>
                <w:color w:val="000000"/>
                <w:sz w:val="20"/>
                <w:szCs w:val="20"/>
              </w:rPr>
              <w:t>* 2019 data only for period January to March 2019</w:t>
            </w:r>
          </w:p>
        </w:tc>
      </w:tr>
    </w:tbl>
    <w:p w14:paraId="27E13C2C" w14:textId="77777777" w:rsidR="007D2E3F" w:rsidRDefault="007D2E3F" w:rsidP="007D2E3F">
      <w:pPr>
        <w:pStyle w:val="ListParagraph"/>
        <w:widowControl w:val="0"/>
        <w:spacing w:before="0" w:after="140" w:line="260" w:lineRule="atLeast"/>
        <w:ind w:left="426"/>
        <w:contextualSpacing w:val="0"/>
        <w:jc w:val="left"/>
        <w:rPr>
          <w:rFonts w:ascii="Gill Sans MT" w:hAnsi="Gill Sans MT"/>
          <w:sz w:val="22"/>
          <w:lang w:eastAsia="en-AU"/>
        </w:rPr>
      </w:pPr>
    </w:p>
    <w:p w14:paraId="06CE246D" w14:textId="77777777" w:rsidR="007D2E3F" w:rsidRPr="00767B80" w:rsidRDefault="007D2E3F" w:rsidP="001C72EA">
      <w:pPr>
        <w:pStyle w:val="ListParagraph"/>
        <w:widowControl w:val="0"/>
        <w:spacing w:before="0" w:after="140" w:line="260" w:lineRule="atLeast"/>
        <w:ind w:left="0"/>
        <w:contextualSpacing w:val="0"/>
        <w:jc w:val="center"/>
        <w:rPr>
          <w:rFonts w:ascii="Gill Sans MT" w:hAnsi="Gill Sans MT"/>
          <w:sz w:val="22"/>
          <w:lang w:eastAsia="en-AU"/>
        </w:rPr>
      </w:pPr>
      <w:r>
        <w:rPr>
          <w:noProof/>
          <w:lang w:val="en-AU" w:eastAsia="en-AU" w:bidi="ar-SA"/>
        </w:rPr>
        <w:drawing>
          <wp:inline distT="0" distB="0" distL="0" distR="0" wp14:anchorId="572BD38C" wp14:editId="7DA24367">
            <wp:extent cx="4304582" cy="2258060"/>
            <wp:effectExtent l="0" t="0" r="1270" b="8890"/>
            <wp:docPr id="6" name="Chart 6" descr="Bar Chart showing Presentations to Royal Hobart Hospital Emergency Department 2017 compared with 2018 for alcohol or drug primary diagnoses.  Alcohol intoxication 348 compared with 332, Intoxication due to multiple /unspecified drugs 97 compared with 86. Alcohol Withdrawal 71 compared with 73. Behavioural disorder due to alcohol, not intoxication 31 compared with 25, Overdose/Multiple unknown drugs NOS 9 compared with 25.">
              <a:extLst xmlns:a="http://schemas.openxmlformats.org/drawingml/2006/main">
                <a:ext uri="{FF2B5EF4-FFF2-40B4-BE49-F238E27FC236}">
                  <a16:creationId xmlns:a16="http://schemas.microsoft.com/office/drawing/2014/main" id="{B9E67CF1-8549-4884-9F4B-C92754A81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58252B" w14:textId="77777777" w:rsidR="007D2E3F" w:rsidRPr="00767B80" w:rsidRDefault="007D2E3F" w:rsidP="002D749E">
      <w:pPr>
        <w:pStyle w:val="ListParagraph"/>
        <w:widowControl w:val="0"/>
        <w:numPr>
          <w:ilvl w:val="0"/>
          <w:numId w:val="28"/>
        </w:numPr>
        <w:spacing w:before="0" w:after="140" w:line="260" w:lineRule="atLeast"/>
        <w:ind w:left="425" w:hanging="425"/>
        <w:contextualSpacing w:val="0"/>
        <w:jc w:val="left"/>
        <w:rPr>
          <w:rFonts w:ascii="Gill Sans MT" w:hAnsi="Gill Sans MT"/>
          <w:sz w:val="22"/>
          <w:lang w:eastAsia="en-AU"/>
        </w:rPr>
      </w:pPr>
      <w:r w:rsidRPr="00767B80">
        <w:rPr>
          <w:rFonts w:ascii="Gill Sans MT" w:hAnsi="Gill Sans MT"/>
          <w:sz w:val="22"/>
        </w:rPr>
        <w:t xml:space="preserve">Alcohol attributable deaths and </w:t>
      </w:r>
      <w:proofErr w:type="spellStart"/>
      <w:r w:rsidRPr="00767B80">
        <w:rPr>
          <w:rFonts w:ascii="Gill Sans MT" w:hAnsi="Gill Sans MT"/>
          <w:sz w:val="22"/>
        </w:rPr>
        <w:t>hospitalisations</w:t>
      </w:r>
      <w:proofErr w:type="spellEnd"/>
      <w:r w:rsidRPr="00767B80">
        <w:rPr>
          <w:rFonts w:ascii="Gill Sans MT" w:hAnsi="Gill Sans MT"/>
          <w:sz w:val="22"/>
        </w:rPr>
        <w:t xml:space="preserve"> are derived by applying aetiologic fractions (the probability that a </w:t>
      </w:r>
      <w:proofErr w:type="gramStart"/>
      <w:r w:rsidRPr="00767B80">
        <w:rPr>
          <w:rFonts w:ascii="Gill Sans MT" w:hAnsi="Gill Sans MT"/>
          <w:sz w:val="22"/>
        </w:rPr>
        <w:t>particular death</w:t>
      </w:r>
      <w:proofErr w:type="gramEnd"/>
      <w:r w:rsidRPr="00767B80">
        <w:rPr>
          <w:rFonts w:ascii="Gill Sans MT" w:hAnsi="Gill Sans MT"/>
          <w:sz w:val="22"/>
        </w:rPr>
        <w:t xml:space="preserve"> or illness is associated with alcohol consumption) to population level mortality and morbidity data</w:t>
      </w:r>
      <w:r w:rsidRPr="00767B80">
        <w:rPr>
          <w:rFonts w:ascii="Gill Sans MT" w:hAnsi="Gill Sans MT"/>
          <w:sz w:val="22"/>
          <w:lang w:eastAsia="en-AU"/>
        </w:rPr>
        <w:t xml:space="preserve">. Rates of </w:t>
      </w:r>
      <w:proofErr w:type="spellStart"/>
      <w:r w:rsidRPr="00767B80">
        <w:rPr>
          <w:rFonts w:ascii="Gill Sans MT" w:hAnsi="Gill Sans MT"/>
          <w:sz w:val="22"/>
          <w:lang w:eastAsia="en-AU"/>
        </w:rPr>
        <w:t>hospitalisation</w:t>
      </w:r>
      <w:proofErr w:type="spellEnd"/>
      <w:r w:rsidRPr="00767B80">
        <w:rPr>
          <w:rFonts w:ascii="Gill Sans MT" w:hAnsi="Gill Sans MT"/>
          <w:sz w:val="22"/>
          <w:lang w:eastAsia="en-AU"/>
        </w:rPr>
        <w:t xml:space="preserve"> are significantly higher for males than females in Tasmania, although the gap appears to have narrowed over the last decade, with rates for females increasing at 3</w:t>
      </w:r>
      <w:r>
        <w:rPr>
          <w:rFonts w:ascii="Gill Sans MT" w:hAnsi="Gill Sans MT"/>
          <w:sz w:val="22"/>
          <w:lang w:eastAsia="en-AU"/>
        </w:rPr>
        <w:t xml:space="preserve"> per cent</w:t>
      </w:r>
      <w:r w:rsidRPr="00767B80">
        <w:rPr>
          <w:rFonts w:ascii="Gill Sans MT" w:hAnsi="Gill Sans MT"/>
          <w:sz w:val="22"/>
          <w:lang w:eastAsia="en-AU"/>
        </w:rPr>
        <w:t xml:space="preserve"> per year while rates for males have remained </w:t>
      </w:r>
      <w:proofErr w:type="gramStart"/>
      <w:r w:rsidRPr="00767B80">
        <w:rPr>
          <w:rFonts w:ascii="Gill Sans MT" w:hAnsi="Gill Sans MT"/>
          <w:sz w:val="22"/>
          <w:lang w:eastAsia="en-AU"/>
        </w:rPr>
        <w:t>fairly stable</w:t>
      </w:r>
      <w:proofErr w:type="gramEnd"/>
      <w:r w:rsidRPr="00767B80">
        <w:rPr>
          <w:rFonts w:ascii="Gill Sans MT" w:hAnsi="Gill Sans MT"/>
          <w:sz w:val="22"/>
          <w:lang w:eastAsia="en-AU"/>
        </w:rPr>
        <w:t>. In 2014-15 there were an estimated 5</w:t>
      </w:r>
      <w:r>
        <w:rPr>
          <w:rFonts w:ascii="Gill Sans MT" w:hAnsi="Gill Sans MT"/>
          <w:sz w:val="22"/>
          <w:lang w:eastAsia="en-AU"/>
        </w:rPr>
        <w:t xml:space="preserve"> </w:t>
      </w:r>
      <w:r w:rsidRPr="00767B80">
        <w:rPr>
          <w:rFonts w:ascii="Gill Sans MT" w:hAnsi="Gill Sans MT"/>
          <w:sz w:val="22"/>
          <w:lang w:eastAsia="en-AU"/>
        </w:rPr>
        <w:t xml:space="preserve">210 </w:t>
      </w:r>
      <w:proofErr w:type="spellStart"/>
      <w:r w:rsidRPr="00767B80">
        <w:rPr>
          <w:rFonts w:ascii="Gill Sans MT" w:hAnsi="Gill Sans MT"/>
          <w:sz w:val="22"/>
          <w:lang w:eastAsia="en-AU"/>
        </w:rPr>
        <w:t>hospitalisations</w:t>
      </w:r>
      <w:proofErr w:type="spellEnd"/>
      <w:r w:rsidRPr="00767B80">
        <w:rPr>
          <w:rFonts w:ascii="Gill Sans MT" w:hAnsi="Gill Sans MT"/>
          <w:sz w:val="22"/>
          <w:lang w:eastAsia="en-AU"/>
        </w:rPr>
        <w:t xml:space="preserve"> in Tasmania (2</w:t>
      </w:r>
      <w:r>
        <w:rPr>
          <w:rFonts w:ascii="Gill Sans MT" w:hAnsi="Gill Sans MT"/>
          <w:sz w:val="22"/>
          <w:lang w:eastAsia="en-AU"/>
        </w:rPr>
        <w:t xml:space="preserve"> </w:t>
      </w:r>
      <w:r w:rsidRPr="00767B80">
        <w:rPr>
          <w:rFonts w:ascii="Gill Sans MT" w:hAnsi="Gill Sans MT"/>
          <w:sz w:val="22"/>
          <w:lang w:eastAsia="en-AU"/>
        </w:rPr>
        <w:t>797 men and 2</w:t>
      </w:r>
      <w:r>
        <w:rPr>
          <w:rFonts w:ascii="Gill Sans MT" w:hAnsi="Gill Sans MT"/>
          <w:sz w:val="22"/>
          <w:lang w:eastAsia="en-AU"/>
        </w:rPr>
        <w:t xml:space="preserve"> </w:t>
      </w:r>
      <w:r w:rsidRPr="00767B80">
        <w:rPr>
          <w:rFonts w:ascii="Gill Sans MT" w:hAnsi="Gill Sans MT"/>
          <w:sz w:val="22"/>
          <w:lang w:eastAsia="en-AU"/>
        </w:rPr>
        <w:t>413 women) attributable to alcohol (</w:t>
      </w:r>
      <w:r w:rsidRPr="00767B80">
        <w:rPr>
          <w:rFonts w:ascii="Gill Sans MT" w:hAnsi="Gill Sans MT"/>
          <w:sz w:val="22"/>
        </w:rPr>
        <w:t>Department of Health and Human Services, 2016).</w:t>
      </w:r>
      <w:r w:rsidRPr="00767B80">
        <w:rPr>
          <w:sz w:val="20"/>
          <w:szCs w:val="20"/>
        </w:rPr>
        <w:t xml:space="preserve"> </w:t>
      </w:r>
    </w:p>
    <w:p w14:paraId="2996A59C" w14:textId="77777777" w:rsidR="007D2E3F" w:rsidRDefault="007D2E3F" w:rsidP="00996CFE">
      <w:pPr>
        <w:pStyle w:val="Heading3"/>
      </w:pPr>
      <w:r>
        <w:t xml:space="preserve">The Department of Police, Fire and Emergency Management </w:t>
      </w:r>
    </w:p>
    <w:p w14:paraId="135C13FD" w14:textId="77777777" w:rsidR="00E84D38" w:rsidRPr="00F934A2" w:rsidRDefault="00E84D38" w:rsidP="00B542EE">
      <w:pPr>
        <w:pStyle w:val="ListParagraph"/>
        <w:widowControl w:val="0"/>
        <w:numPr>
          <w:ilvl w:val="0"/>
          <w:numId w:val="28"/>
        </w:numPr>
        <w:autoSpaceDE w:val="0"/>
        <w:autoSpaceDN w:val="0"/>
        <w:adjustRightInd w:val="0"/>
        <w:spacing w:before="0" w:after="140" w:line="260" w:lineRule="atLeast"/>
        <w:ind w:left="426" w:hanging="426"/>
        <w:contextualSpacing w:val="0"/>
        <w:jc w:val="left"/>
        <w:rPr>
          <w:rFonts w:ascii="Gill Sans MT" w:hAnsi="Gill Sans MT" w:cs="GillSans-Light"/>
          <w:sz w:val="22"/>
        </w:rPr>
      </w:pPr>
      <w:r w:rsidRPr="00CC6658">
        <w:rPr>
          <w:rFonts w:ascii="Gill Sans MT" w:hAnsi="Gill Sans MT" w:cs="GillSans-Light"/>
          <w:sz w:val="22"/>
        </w:rPr>
        <w:t>In 201</w:t>
      </w:r>
      <w:r w:rsidRPr="00F934A2">
        <w:rPr>
          <w:rFonts w:ascii="Gill Sans MT" w:hAnsi="Gill Sans MT" w:cs="GillSans-Light"/>
          <w:sz w:val="22"/>
        </w:rPr>
        <w:t>8</w:t>
      </w:r>
      <w:r w:rsidRPr="00CC6658">
        <w:rPr>
          <w:rFonts w:ascii="Gill Sans MT" w:hAnsi="Gill Sans MT" w:cs="GillSans-Light"/>
          <w:sz w:val="22"/>
        </w:rPr>
        <w:t>-1</w:t>
      </w:r>
      <w:r w:rsidRPr="00F934A2">
        <w:rPr>
          <w:rFonts w:ascii="Gill Sans MT" w:hAnsi="Gill Sans MT" w:cs="GillSans-Light"/>
          <w:sz w:val="22"/>
        </w:rPr>
        <w:t>9</w:t>
      </w:r>
      <w:r w:rsidRPr="00CC6658">
        <w:rPr>
          <w:rFonts w:ascii="Gill Sans MT" w:hAnsi="Gill Sans MT" w:cs="GillSans-Light"/>
          <w:sz w:val="22"/>
        </w:rPr>
        <w:t xml:space="preserve">, Tasmania Police recorded </w:t>
      </w:r>
      <w:r w:rsidRPr="00F934A2">
        <w:rPr>
          <w:rFonts w:ascii="Gill Sans MT" w:hAnsi="Gill Sans MT" w:cs="GillSans-Light"/>
          <w:sz w:val="22"/>
        </w:rPr>
        <w:t>351</w:t>
      </w:r>
      <w:r w:rsidRPr="00CC6658">
        <w:rPr>
          <w:rFonts w:ascii="Gill Sans MT" w:hAnsi="Gill Sans MT" w:cs="GillSans-Light"/>
          <w:sz w:val="22"/>
        </w:rPr>
        <w:t xml:space="preserve"> serious drug offenders. This represents a </w:t>
      </w:r>
      <w:r w:rsidRPr="00F934A2">
        <w:rPr>
          <w:rFonts w:ascii="Gill Sans MT" w:hAnsi="Gill Sans MT" w:cs="GillSans-Light"/>
          <w:sz w:val="22"/>
        </w:rPr>
        <w:t>29</w:t>
      </w:r>
      <w:r w:rsidRPr="00CC6658">
        <w:rPr>
          <w:rFonts w:ascii="Gill Sans MT" w:hAnsi="Gill Sans MT" w:cs="GillSans-Light"/>
          <w:sz w:val="22"/>
        </w:rPr>
        <w:t xml:space="preserve"> percent </w:t>
      </w:r>
      <w:r w:rsidRPr="00F934A2">
        <w:rPr>
          <w:rFonts w:ascii="Gill Sans MT" w:hAnsi="Gill Sans MT" w:cs="GillSans-Light"/>
          <w:sz w:val="22"/>
        </w:rPr>
        <w:t>de</w:t>
      </w:r>
      <w:r w:rsidRPr="00CC6658">
        <w:rPr>
          <w:rFonts w:ascii="Gill Sans MT" w:hAnsi="Gill Sans MT" w:cs="GillSans-Light"/>
          <w:sz w:val="22"/>
        </w:rPr>
        <w:t>crease on the previous year’s figure. Tasmania Police also recorded 2,6</w:t>
      </w:r>
      <w:r w:rsidRPr="00F934A2">
        <w:rPr>
          <w:rFonts w:ascii="Gill Sans MT" w:hAnsi="Gill Sans MT" w:cs="GillSans-Light"/>
          <w:sz w:val="22"/>
        </w:rPr>
        <w:t>12</w:t>
      </w:r>
      <w:r w:rsidRPr="00CC6658">
        <w:rPr>
          <w:rFonts w:ascii="Gill Sans MT" w:hAnsi="Gill Sans MT" w:cs="GillSans-Light"/>
          <w:sz w:val="22"/>
        </w:rPr>
        <w:t xml:space="preserve"> non-serious drug offenders, with 2,</w:t>
      </w:r>
      <w:r w:rsidRPr="00F934A2">
        <w:rPr>
          <w:rFonts w:ascii="Gill Sans MT" w:hAnsi="Gill Sans MT" w:cs="GillSans-Light"/>
          <w:sz w:val="22"/>
        </w:rPr>
        <w:t>729</w:t>
      </w:r>
      <w:r w:rsidRPr="00CC6658">
        <w:rPr>
          <w:rFonts w:ascii="Gill Sans MT" w:hAnsi="Gill Sans MT" w:cs="GillSans-Light"/>
          <w:sz w:val="22"/>
        </w:rPr>
        <w:t xml:space="preserve"> total drug offenders recorded in 201</w:t>
      </w:r>
      <w:r w:rsidRPr="00F934A2">
        <w:rPr>
          <w:rFonts w:ascii="Gill Sans MT" w:hAnsi="Gill Sans MT" w:cs="GillSans-Light"/>
          <w:sz w:val="22"/>
        </w:rPr>
        <w:t>8</w:t>
      </w:r>
      <w:r w:rsidRPr="00CC6658">
        <w:rPr>
          <w:rFonts w:ascii="Gill Sans MT" w:hAnsi="Gill Sans MT" w:cs="GillSans-Light"/>
          <w:sz w:val="22"/>
        </w:rPr>
        <w:t>-1</w:t>
      </w:r>
      <w:r w:rsidRPr="00F934A2">
        <w:rPr>
          <w:rFonts w:ascii="Gill Sans MT" w:hAnsi="Gill Sans MT" w:cs="GillSans-Light"/>
          <w:sz w:val="22"/>
        </w:rPr>
        <w:t>9</w:t>
      </w:r>
      <w:r w:rsidRPr="00CC6658">
        <w:rPr>
          <w:rFonts w:ascii="Gill Sans MT" w:hAnsi="Gill Sans MT" w:cs="GillSans-Light"/>
          <w:sz w:val="22"/>
        </w:rPr>
        <w:t>.</w:t>
      </w:r>
    </w:p>
    <w:p w14:paraId="4E777ADF" w14:textId="77777777" w:rsidR="00E84D38" w:rsidRPr="00CC6658" w:rsidRDefault="00E84D38" w:rsidP="0016269B">
      <w:pPr>
        <w:pStyle w:val="ListParagraph"/>
        <w:widowControl w:val="0"/>
        <w:numPr>
          <w:ilvl w:val="0"/>
          <w:numId w:val="28"/>
        </w:numPr>
        <w:autoSpaceDE w:val="0"/>
        <w:autoSpaceDN w:val="0"/>
        <w:adjustRightInd w:val="0"/>
        <w:spacing w:before="0" w:after="140" w:line="260" w:lineRule="atLeast"/>
        <w:ind w:left="425" w:hanging="425"/>
        <w:contextualSpacing w:val="0"/>
        <w:jc w:val="left"/>
        <w:rPr>
          <w:rFonts w:ascii="Gill Sans MT" w:hAnsi="Gill Sans MT" w:cs="GillSans-Light"/>
          <w:color w:val="000000"/>
          <w:sz w:val="22"/>
        </w:rPr>
      </w:pPr>
      <w:r w:rsidRPr="00CC6658">
        <w:rPr>
          <w:rFonts w:ascii="Gill Sans MT" w:hAnsi="Gill Sans MT" w:cs="GillSans-Light"/>
          <w:color w:val="000000"/>
          <w:sz w:val="22"/>
        </w:rPr>
        <w:t>Tasmania Police conducted 4</w:t>
      </w:r>
      <w:r w:rsidRPr="00F934A2">
        <w:rPr>
          <w:rFonts w:ascii="Gill Sans MT" w:hAnsi="Gill Sans MT" w:cs="GillSans-Light"/>
          <w:color w:val="000000"/>
          <w:sz w:val="22"/>
        </w:rPr>
        <w:t>38,322</w:t>
      </w:r>
      <w:r w:rsidRPr="00CC6658">
        <w:rPr>
          <w:rFonts w:ascii="Gill Sans MT" w:hAnsi="Gill Sans MT" w:cs="GillSans-Light"/>
          <w:color w:val="000000"/>
          <w:sz w:val="22"/>
        </w:rPr>
        <w:t xml:space="preserve"> random breath tests in 201</w:t>
      </w:r>
      <w:r w:rsidRPr="00F934A2">
        <w:rPr>
          <w:rFonts w:ascii="Gill Sans MT" w:hAnsi="Gill Sans MT" w:cs="GillSans-Light"/>
          <w:color w:val="000000"/>
          <w:sz w:val="22"/>
        </w:rPr>
        <w:t>8</w:t>
      </w:r>
      <w:r w:rsidRPr="00CC6658">
        <w:rPr>
          <w:rFonts w:ascii="Gill Sans MT" w:hAnsi="Gill Sans MT" w:cs="GillSans-Light"/>
          <w:color w:val="000000"/>
          <w:sz w:val="22"/>
        </w:rPr>
        <w:t>-1</w:t>
      </w:r>
      <w:r w:rsidRPr="00F934A2">
        <w:rPr>
          <w:rFonts w:ascii="Gill Sans MT" w:hAnsi="Gill Sans MT" w:cs="GillSans-Light"/>
          <w:color w:val="000000"/>
          <w:sz w:val="22"/>
        </w:rPr>
        <w:t>9</w:t>
      </w:r>
      <w:r w:rsidRPr="00CC6658">
        <w:rPr>
          <w:rFonts w:ascii="Gill Sans MT" w:hAnsi="Gill Sans MT" w:cs="GillSans-Light"/>
          <w:color w:val="000000"/>
          <w:sz w:val="22"/>
        </w:rPr>
        <w:t xml:space="preserve">, a decrease from the </w:t>
      </w:r>
      <w:r w:rsidRPr="00F934A2">
        <w:rPr>
          <w:rFonts w:ascii="Gill Sans MT" w:hAnsi="Gill Sans MT" w:cs="GillSans-Light"/>
          <w:color w:val="000000"/>
          <w:sz w:val="22"/>
        </w:rPr>
        <w:t>478,219</w:t>
      </w:r>
      <w:r w:rsidRPr="00CC6658">
        <w:rPr>
          <w:rFonts w:ascii="Gill Sans MT" w:hAnsi="Gill Sans MT" w:cs="GillSans-Light"/>
          <w:color w:val="000000"/>
          <w:sz w:val="22"/>
        </w:rPr>
        <w:t xml:space="preserve"> conducted in 201</w:t>
      </w:r>
      <w:r w:rsidRPr="00F934A2">
        <w:rPr>
          <w:rFonts w:ascii="Gill Sans MT" w:hAnsi="Gill Sans MT" w:cs="GillSans-Light"/>
          <w:color w:val="000000"/>
          <w:sz w:val="22"/>
        </w:rPr>
        <w:t>7</w:t>
      </w:r>
      <w:r w:rsidRPr="00CC6658">
        <w:rPr>
          <w:rFonts w:ascii="Gill Sans MT" w:hAnsi="Gill Sans MT" w:cs="GillSans-Light"/>
          <w:color w:val="000000"/>
          <w:sz w:val="22"/>
        </w:rPr>
        <w:t>-1</w:t>
      </w:r>
      <w:r w:rsidRPr="00F934A2">
        <w:rPr>
          <w:rFonts w:ascii="Gill Sans MT" w:hAnsi="Gill Sans MT" w:cs="GillSans-Light"/>
          <w:color w:val="000000"/>
          <w:sz w:val="22"/>
        </w:rPr>
        <w:t>8</w:t>
      </w:r>
      <w:r w:rsidRPr="00CC6658">
        <w:rPr>
          <w:rFonts w:ascii="Gill Sans MT" w:hAnsi="Gill Sans MT" w:cs="GillSans-Light"/>
          <w:color w:val="000000"/>
          <w:sz w:val="22"/>
        </w:rPr>
        <w:t>. In 201</w:t>
      </w:r>
      <w:r w:rsidRPr="00F934A2">
        <w:rPr>
          <w:rFonts w:ascii="Gill Sans MT" w:hAnsi="Gill Sans MT" w:cs="GillSans-Light"/>
          <w:color w:val="000000"/>
          <w:sz w:val="22"/>
        </w:rPr>
        <w:t>8</w:t>
      </w:r>
      <w:r w:rsidRPr="00CC6658">
        <w:rPr>
          <w:rFonts w:ascii="Gill Sans MT" w:hAnsi="Gill Sans MT" w:cs="GillSans-Light"/>
          <w:color w:val="000000"/>
          <w:sz w:val="22"/>
        </w:rPr>
        <w:t>-1</w:t>
      </w:r>
      <w:r w:rsidRPr="00F934A2">
        <w:rPr>
          <w:rFonts w:ascii="Gill Sans MT" w:hAnsi="Gill Sans MT" w:cs="GillSans-Light"/>
          <w:color w:val="000000"/>
          <w:sz w:val="22"/>
        </w:rPr>
        <w:t>9</w:t>
      </w:r>
      <w:r w:rsidRPr="00CC6658">
        <w:rPr>
          <w:rFonts w:ascii="Gill Sans MT" w:hAnsi="Gill Sans MT" w:cs="GillSans-Light"/>
          <w:color w:val="000000"/>
          <w:sz w:val="22"/>
        </w:rPr>
        <w:t xml:space="preserve">, </w:t>
      </w:r>
      <w:r w:rsidRPr="00F934A2">
        <w:rPr>
          <w:rFonts w:ascii="Gill Sans MT" w:hAnsi="Gill Sans MT" w:cs="GillSans-Light"/>
          <w:color w:val="000000"/>
          <w:sz w:val="22"/>
        </w:rPr>
        <w:t>1,905</w:t>
      </w:r>
      <w:r w:rsidRPr="00CC6658">
        <w:rPr>
          <w:rFonts w:ascii="Gill Sans MT" w:hAnsi="Gill Sans MT" w:cs="GillSans-Light"/>
          <w:color w:val="000000"/>
          <w:sz w:val="22"/>
        </w:rPr>
        <w:t xml:space="preserve"> drivers were charged with exceeding the prescribed alcohol limit or driving under the influence of intoxicating liquor, compared with 2,</w:t>
      </w:r>
      <w:r w:rsidRPr="00F934A2">
        <w:rPr>
          <w:rFonts w:ascii="Gill Sans MT" w:hAnsi="Gill Sans MT" w:cs="GillSans-Light"/>
          <w:color w:val="000000"/>
          <w:sz w:val="22"/>
        </w:rPr>
        <w:t>173</w:t>
      </w:r>
      <w:r w:rsidRPr="00CC6658">
        <w:rPr>
          <w:rFonts w:ascii="Gill Sans MT" w:hAnsi="Gill Sans MT" w:cs="GillSans-Light"/>
          <w:color w:val="000000"/>
          <w:sz w:val="22"/>
        </w:rPr>
        <w:t xml:space="preserve"> in 201</w:t>
      </w:r>
      <w:r w:rsidRPr="00F934A2">
        <w:rPr>
          <w:rFonts w:ascii="Gill Sans MT" w:hAnsi="Gill Sans MT" w:cs="GillSans-Light"/>
          <w:color w:val="000000"/>
          <w:sz w:val="22"/>
        </w:rPr>
        <w:t>7</w:t>
      </w:r>
      <w:r w:rsidRPr="00CC6658">
        <w:rPr>
          <w:rFonts w:ascii="Gill Sans MT" w:hAnsi="Gill Sans MT" w:cs="GillSans-Light"/>
          <w:color w:val="000000"/>
          <w:sz w:val="22"/>
        </w:rPr>
        <w:t>-1</w:t>
      </w:r>
      <w:r w:rsidRPr="00F934A2">
        <w:rPr>
          <w:rFonts w:ascii="Gill Sans MT" w:hAnsi="Gill Sans MT" w:cs="GillSans-Light"/>
          <w:color w:val="000000"/>
          <w:sz w:val="22"/>
        </w:rPr>
        <w:t>8</w:t>
      </w:r>
      <w:r w:rsidRPr="00CC6658">
        <w:rPr>
          <w:rFonts w:ascii="Gill Sans MT" w:hAnsi="Gill Sans MT" w:cs="GillSans-Light"/>
          <w:color w:val="000000"/>
          <w:sz w:val="22"/>
        </w:rPr>
        <w:t xml:space="preserve">. There were </w:t>
      </w:r>
      <w:r w:rsidRPr="00F934A2">
        <w:rPr>
          <w:rFonts w:ascii="Gill Sans MT" w:hAnsi="Gill Sans MT" w:cs="GillSans-Light"/>
          <w:color w:val="000000"/>
          <w:sz w:val="22"/>
        </w:rPr>
        <w:t>98</w:t>
      </w:r>
      <w:r w:rsidRPr="00CC6658">
        <w:rPr>
          <w:rFonts w:ascii="Gill Sans MT" w:hAnsi="Gill Sans MT" w:cs="GillSans-Light"/>
          <w:color w:val="000000"/>
          <w:sz w:val="22"/>
        </w:rPr>
        <w:t xml:space="preserve"> drivers charged with refusing to provide a breath or blood sample for analysis.</w:t>
      </w:r>
    </w:p>
    <w:p w14:paraId="1F56E934" w14:textId="4828F44A" w:rsidR="00E84D38" w:rsidRPr="00F211D9" w:rsidRDefault="00E84D38" w:rsidP="00F211D9">
      <w:pPr>
        <w:pStyle w:val="ListParagraph"/>
        <w:widowControl w:val="0"/>
        <w:numPr>
          <w:ilvl w:val="0"/>
          <w:numId w:val="28"/>
        </w:numPr>
        <w:autoSpaceDE w:val="0"/>
        <w:autoSpaceDN w:val="0"/>
        <w:adjustRightInd w:val="0"/>
        <w:spacing w:before="0" w:after="140" w:line="260" w:lineRule="atLeast"/>
        <w:ind w:left="426" w:hanging="426"/>
        <w:contextualSpacing w:val="0"/>
        <w:jc w:val="left"/>
        <w:rPr>
          <w:rFonts w:ascii="Gill Sans MT" w:hAnsi="Gill Sans MT" w:cs="GillSans-Light"/>
          <w:color w:val="000000"/>
          <w:sz w:val="22"/>
        </w:rPr>
      </w:pPr>
      <w:r w:rsidRPr="00CC6658">
        <w:rPr>
          <w:rFonts w:ascii="Gill Sans MT" w:hAnsi="Gill Sans MT" w:cs="GillSans-Light"/>
          <w:color w:val="000000"/>
          <w:sz w:val="22"/>
        </w:rPr>
        <w:t>Tasmania Police conducts oral fluid testing to detect the presence of prescribed drugs in drivers. In 201</w:t>
      </w:r>
      <w:r w:rsidRPr="00F934A2">
        <w:rPr>
          <w:rFonts w:ascii="Gill Sans MT" w:hAnsi="Gill Sans MT" w:cs="GillSans-Light"/>
          <w:color w:val="000000"/>
          <w:sz w:val="22"/>
        </w:rPr>
        <w:t>8</w:t>
      </w:r>
      <w:r w:rsidRPr="00CC6658">
        <w:rPr>
          <w:rFonts w:ascii="Gill Sans MT" w:hAnsi="Gill Sans MT" w:cs="GillSans-Light"/>
          <w:color w:val="000000"/>
          <w:sz w:val="22"/>
        </w:rPr>
        <w:t>-1</w:t>
      </w:r>
      <w:r w:rsidRPr="00F934A2">
        <w:rPr>
          <w:rFonts w:ascii="Gill Sans MT" w:hAnsi="Gill Sans MT" w:cs="GillSans-Light"/>
          <w:color w:val="000000"/>
          <w:sz w:val="22"/>
        </w:rPr>
        <w:t>9</w:t>
      </w:r>
      <w:r w:rsidRPr="00CC6658">
        <w:rPr>
          <w:rFonts w:ascii="Gill Sans MT" w:hAnsi="Gill Sans MT" w:cs="GillSans-Light"/>
          <w:color w:val="000000"/>
          <w:sz w:val="22"/>
        </w:rPr>
        <w:t xml:space="preserve">, </w:t>
      </w:r>
      <w:r w:rsidRPr="00F934A2">
        <w:rPr>
          <w:rFonts w:ascii="Gill Sans MT" w:hAnsi="Gill Sans MT" w:cs="GillSans-Light"/>
          <w:color w:val="000000"/>
          <w:sz w:val="22"/>
        </w:rPr>
        <w:t>4,518</w:t>
      </w:r>
      <w:r w:rsidRPr="00CC6658">
        <w:rPr>
          <w:rFonts w:ascii="Gill Sans MT" w:hAnsi="Gill Sans MT" w:cs="GillSans-Light"/>
          <w:color w:val="000000"/>
          <w:sz w:val="22"/>
        </w:rPr>
        <w:t xml:space="preserve"> </w:t>
      </w:r>
      <w:r w:rsidRPr="00F934A2">
        <w:rPr>
          <w:rFonts w:ascii="Gill Sans MT" w:hAnsi="Gill Sans MT" w:cs="GillSans-Light"/>
          <w:color w:val="000000"/>
          <w:sz w:val="22"/>
        </w:rPr>
        <w:t xml:space="preserve">targeted </w:t>
      </w:r>
      <w:r w:rsidRPr="00CC6658">
        <w:rPr>
          <w:rFonts w:ascii="Gill Sans MT" w:hAnsi="Gill Sans MT" w:cs="GillSans-Light"/>
          <w:color w:val="000000"/>
          <w:sz w:val="22"/>
        </w:rPr>
        <w:t>tests were conducted, an increase from 3,</w:t>
      </w:r>
      <w:r w:rsidRPr="00F934A2">
        <w:rPr>
          <w:rFonts w:ascii="Gill Sans MT" w:hAnsi="Gill Sans MT" w:cs="GillSans-Light"/>
          <w:color w:val="000000"/>
          <w:sz w:val="22"/>
        </w:rPr>
        <w:t>936</w:t>
      </w:r>
      <w:r w:rsidRPr="00CC6658">
        <w:rPr>
          <w:rFonts w:ascii="Gill Sans MT" w:hAnsi="Gill Sans MT" w:cs="GillSans-Light"/>
          <w:color w:val="000000"/>
          <w:sz w:val="22"/>
        </w:rPr>
        <w:t xml:space="preserve"> the previous year. A total 2,</w:t>
      </w:r>
      <w:r w:rsidRPr="00F934A2">
        <w:rPr>
          <w:rFonts w:ascii="Gill Sans MT" w:hAnsi="Gill Sans MT" w:cs="GillSans-Light"/>
          <w:color w:val="000000"/>
          <w:sz w:val="22"/>
        </w:rPr>
        <w:t>430</w:t>
      </w:r>
      <w:r w:rsidRPr="00CC6658">
        <w:rPr>
          <w:rFonts w:ascii="Gill Sans MT" w:hAnsi="Gill Sans MT" w:cs="GillSans-Light"/>
          <w:color w:val="000000"/>
          <w:sz w:val="22"/>
        </w:rPr>
        <w:t xml:space="preserve"> drivers were subsequently charged with driving while a prescribed illicit drug was present in blood, an increase from 2,</w:t>
      </w:r>
      <w:r w:rsidRPr="00F934A2">
        <w:rPr>
          <w:rFonts w:ascii="Gill Sans MT" w:hAnsi="Gill Sans MT" w:cs="GillSans-Light"/>
          <w:color w:val="000000"/>
          <w:sz w:val="22"/>
        </w:rPr>
        <w:t>213</w:t>
      </w:r>
      <w:r w:rsidRPr="00CC6658">
        <w:rPr>
          <w:rFonts w:ascii="Gill Sans MT" w:hAnsi="Gill Sans MT" w:cs="GillSans-Light"/>
          <w:color w:val="000000"/>
          <w:sz w:val="22"/>
        </w:rPr>
        <w:t xml:space="preserve"> charged in 201</w:t>
      </w:r>
      <w:r w:rsidRPr="00F934A2">
        <w:rPr>
          <w:rFonts w:ascii="Gill Sans MT" w:hAnsi="Gill Sans MT" w:cs="GillSans-Light"/>
          <w:color w:val="000000"/>
          <w:sz w:val="22"/>
        </w:rPr>
        <w:t>7</w:t>
      </w:r>
      <w:r w:rsidRPr="00CC6658">
        <w:rPr>
          <w:rFonts w:ascii="Gill Sans MT" w:hAnsi="Gill Sans MT" w:cs="GillSans-Light"/>
          <w:color w:val="000000"/>
          <w:sz w:val="22"/>
        </w:rPr>
        <w:t>-1</w:t>
      </w:r>
      <w:r w:rsidRPr="00F934A2">
        <w:rPr>
          <w:rFonts w:ascii="Gill Sans MT" w:hAnsi="Gill Sans MT" w:cs="GillSans-Light"/>
          <w:color w:val="000000"/>
          <w:sz w:val="22"/>
        </w:rPr>
        <w:t>8</w:t>
      </w:r>
      <w:r w:rsidRPr="00CC6658">
        <w:rPr>
          <w:rFonts w:ascii="Gill Sans MT" w:hAnsi="Gill Sans MT" w:cs="GillSans-Light"/>
          <w:color w:val="000000"/>
          <w:sz w:val="22"/>
        </w:rPr>
        <w:t>.</w:t>
      </w:r>
    </w:p>
    <w:tbl>
      <w:tblPr>
        <w:tblStyle w:val="TableGrid"/>
        <w:tblW w:w="0" w:type="auto"/>
        <w:jc w:val="center"/>
        <w:tblLook w:val="04A0" w:firstRow="1" w:lastRow="0" w:firstColumn="1" w:lastColumn="0" w:noHBand="0" w:noVBand="1"/>
      </w:tblPr>
      <w:tblGrid>
        <w:gridCol w:w="1650"/>
        <w:gridCol w:w="1103"/>
        <w:gridCol w:w="1375"/>
        <w:gridCol w:w="1375"/>
        <w:gridCol w:w="1375"/>
        <w:gridCol w:w="1375"/>
        <w:gridCol w:w="1375"/>
      </w:tblGrid>
      <w:tr w:rsidR="00E84D38" w:rsidRPr="00CC6658" w14:paraId="5D42B6F6" w14:textId="77777777" w:rsidTr="00120503">
        <w:trPr>
          <w:tblHeader/>
          <w:jc w:val="center"/>
        </w:trPr>
        <w:tc>
          <w:tcPr>
            <w:tcW w:w="1650" w:type="dxa"/>
            <w:vAlign w:val="center"/>
          </w:tcPr>
          <w:p w14:paraId="2E570D7E" w14:textId="77777777" w:rsidR="00E84D38" w:rsidRPr="00CC6658" w:rsidRDefault="00E84D38" w:rsidP="00FE30D1">
            <w:pPr>
              <w:pStyle w:val="Pa11"/>
              <w:widowControl w:val="0"/>
              <w:spacing w:before="100"/>
              <w:rPr>
                <w:rFonts w:ascii="Gill Sans MT" w:hAnsi="Gill Sans MT" w:cs="Gill Sans MT Pro Medium"/>
                <w:color w:val="000000"/>
                <w:sz w:val="10"/>
                <w:szCs w:val="10"/>
              </w:rPr>
            </w:pPr>
            <w:r w:rsidRPr="00CC6658">
              <w:rPr>
                <w:rFonts w:ascii="Gill Sans MT" w:hAnsi="Gill Sans MT" w:cs="Gill Sans MT Pro Medium"/>
                <w:b/>
                <w:bCs/>
                <w:i/>
                <w:iCs/>
                <w:color w:val="000000"/>
                <w:sz w:val="18"/>
                <w:szCs w:val="18"/>
              </w:rPr>
              <w:t xml:space="preserve">Government Services Budget Paper </w:t>
            </w:r>
            <w:r w:rsidRPr="00CC6658">
              <w:rPr>
                <w:rFonts w:ascii="Gill Sans MT" w:hAnsi="Gill Sans MT" w:cs="Gill Sans MT Pro Medium"/>
                <w:b/>
                <w:bCs/>
                <w:color w:val="000000"/>
                <w:sz w:val="18"/>
                <w:szCs w:val="18"/>
              </w:rPr>
              <w:t>- Performance Measure</w:t>
            </w:r>
            <w:r w:rsidRPr="00CC6658">
              <w:rPr>
                <w:rStyle w:val="A8"/>
                <w:rFonts w:ascii="Gill Sans MT" w:hAnsi="Gill Sans MT"/>
                <w:b/>
                <w:bCs/>
              </w:rPr>
              <w:t xml:space="preserve">1 </w:t>
            </w:r>
          </w:p>
        </w:tc>
        <w:tc>
          <w:tcPr>
            <w:tcW w:w="1103" w:type="dxa"/>
            <w:vAlign w:val="bottom"/>
          </w:tcPr>
          <w:p w14:paraId="5CAD5FC8" w14:textId="77777777" w:rsidR="00E84D38" w:rsidRPr="00CC6658" w:rsidRDefault="00E84D38" w:rsidP="00FE30D1">
            <w:pPr>
              <w:pStyle w:val="Pa28"/>
              <w:widowControl w:val="0"/>
              <w:spacing w:before="100"/>
              <w:jc w:val="center"/>
              <w:rPr>
                <w:rFonts w:ascii="Gill Sans MT" w:hAnsi="Gill Sans MT" w:cs="Gill Sans MT Pro Medium"/>
                <w:color w:val="000000"/>
                <w:sz w:val="18"/>
                <w:szCs w:val="18"/>
              </w:rPr>
            </w:pPr>
            <w:r w:rsidRPr="00CC6658">
              <w:rPr>
                <w:rFonts w:ascii="Gill Sans MT" w:hAnsi="Gill Sans MT" w:cs="Gill Sans MT Pro Medium"/>
                <w:b/>
                <w:bCs/>
                <w:color w:val="000000"/>
                <w:sz w:val="18"/>
                <w:szCs w:val="18"/>
              </w:rPr>
              <w:t>Unit of Measure</w:t>
            </w:r>
          </w:p>
        </w:tc>
        <w:tc>
          <w:tcPr>
            <w:tcW w:w="1375" w:type="dxa"/>
            <w:vAlign w:val="bottom"/>
          </w:tcPr>
          <w:p w14:paraId="024060AA" w14:textId="77777777" w:rsidR="00E84D38" w:rsidRPr="00CC6658" w:rsidRDefault="00E84D38" w:rsidP="00FE30D1">
            <w:pPr>
              <w:pStyle w:val="Pa28"/>
              <w:widowControl w:val="0"/>
              <w:spacing w:before="100"/>
              <w:jc w:val="center"/>
              <w:rPr>
                <w:rFonts w:ascii="Gill Sans MT" w:hAnsi="Gill Sans MT" w:cs="Gill Sans MT Pro Medium"/>
                <w:color w:val="000000"/>
                <w:sz w:val="18"/>
                <w:szCs w:val="18"/>
              </w:rPr>
            </w:pPr>
            <w:r w:rsidRPr="00CC6658">
              <w:rPr>
                <w:rFonts w:ascii="Gill Sans MT" w:hAnsi="Gill Sans MT" w:cs="Gill Sans MT Pro Medium"/>
                <w:b/>
                <w:bCs/>
                <w:color w:val="000000"/>
                <w:sz w:val="18"/>
                <w:szCs w:val="18"/>
              </w:rPr>
              <w:t>201</w:t>
            </w:r>
            <w:r w:rsidRPr="00F934A2">
              <w:rPr>
                <w:rFonts w:ascii="Gill Sans MT" w:hAnsi="Gill Sans MT" w:cs="Gill Sans MT Pro Medium"/>
                <w:b/>
                <w:bCs/>
                <w:color w:val="000000"/>
                <w:sz w:val="18"/>
                <w:szCs w:val="18"/>
              </w:rPr>
              <w:t>5</w:t>
            </w:r>
            <w:r w:rsidRPr="00CC6658">
              <w:rPr>
                <w:rFonts w:ascii="Gill Sans MT" w:hAnsi="Gill Sans MT" w:cs="Gill Sans MT Pro Medium"/>
                <w:b/>
                <w:bCs/>
                <w:color w:val="000000"/>
                <w:sz w:val="18"/>
                <w:szCs w:val="18"/>
              </w:rPr>
              <w:t>-1</w:t>
            </w:r>
            <w:r w:rsidRPr="00F934A2">
              <w:rPr>
                <w:rFonts w:ascii="Gill Sans MT" w:hAnsi="Gill Sans MT" w:cs="Gill Sans MT Pro Medium"/>
                <w:b/>
                <w:bCs/>
                <w:color w:val="000000"/>
                <w:sz w:val="18"/>
                <w:szCs w:val="18"/>
              </w:rPr>
              <w:t>6</w:t>
            </w:r>
            <w:r w:rsidRPr="00CC6658">
              <w:rPr>
                <w:rFonts w:ascii="Gill Sans MT" w:hAnsi="Gill Sans MT" w:cs="Gill Sans MT Pro Medium"/>
                <w:b/>
                <w:bCs/>
                <w:color w:val="000000"/>
                <w:sz w:val="18"/>
                <w:szCs w:val="18"/>
              </w:rPr>
              <w:t xml:space="preserve"> Actual</w:t>
            </w:r>
          </w:p>
        </w:tc>
        <w:tc>
          <w:tcPr>
            <w:tcW w:w="1375" w:type="dxa"/>
            <w:vAlign w:val="bottom"/>
          </w:tcPr>
          <w:p w14:paraId="7AC90789" w14:textId="77777777" w:rsidR="00E84D38" w:rsidRPr="00CC6658" w:rsidRDefault="00E84D38" w:rsidP="00FE30D1">
            <w:pPr>
              <w:pStyle w:val="Pa28"/>
              <w:widowControl w:val="0"/>
              <w:spacing w:before="100"/>
              <w:jc w:val="center"/>
              <w:rPr>
                <w:rFonts w:ascii="Gill Sans MT" w:hAnsi="Gill Sans MT" w:cs="Gill Sans MT Pro Medium"/>
                <w:color w:val="000000"/>
                <w:sz w:val="18"/>
                <w:szCs w:val="18"/>
              </w:rPr>
            </w:pPr>
            <w:r w:rsidRPr="00CC6658">
              <w:rPr>
                <w:rFonts w:ascii="Gill Sans MT" w:hAnsi="Gill Sans MT" w:cs="Gill Sans MT Pro Medium"/>
                <w:b/>
                <w:bCs/>
                <w:color w:val="000000"/>
                <w:sz w:val="18"/>
                <w:szCs w:val="18"/>
              </w:rPr>
              <w:t>201</w:t>
            </w:r>
            <w:r w:rsidRPr="00F934A2">
              <w:rPr>
                <w:rFonts w:ascii="Gill Sans MT" w:hAnsi="Gill Sans MT" w:cs="Gill Sans MT Pro Medium"/>
                <w:b/>
                <w:bCs/>
                <w:color w:val="000000"/>
                <w:sz w:val="18"/>
                <w:szCs w:val="18"/>
              </w:rPr>
              <w:t>6</w:t>
            </w:r>
            <w:r w:rsidRPr="00CC6658">
              <w:rPr>
                <w:rFonts w:ascii="Gill Sans MT" w:hAnsi="Gill Sans MT" w:cs="Gill Sans MT Pro Medium"/>
                <w:b/>
                <w:bCs/>
                <w:color w:val="000000"/>
                <w:sz w:val="18"/>
                <w:szCs w:val="18"/>
              </w:rPr>
              <w:t>-1</w:t>
            </w:r>
            <w:r w:rsidRPr="00F934A2">
              <w:rPr>
                <w:rFonts w:ascii="Gill Sans MT" w:hAnsi="Gill Sans MT" w:cs="Gill Sans MT Pro Medium"/>
                <w:b/>
                <w:bCs/>
                <w:color w:val="000000"/>
                <w:sz w:val="18"/>
                <w:szCs w:val="18"/>
              </w:rPr>
              <w:t>7</w:t>
            </w:r>
            <w:r w:rsidRPr="00CC6658">
              <w:rPr>
                <w:rFonts w:ascii="Gill Sans MT" w:hAnsi="Gill Sans MT" w:cs="Gill Sans MT Pro Medium"/>
                <w:b/>
                <w:bCs/>
                <w:color w:val="000000"/>
                <w:sz w:val="18"/>
                <w:szCs w:val="18"/>
              </w:rPr>
              <w:t xml:space="preserve"> Actual</w:t>
            </w:r>
          </w:p>
        </w:tc>
        <w:tc>
          <w:tcPr>
            <w:tcW w:w="1375" w:type="dxa"/>
            <w:vAlign w:val="bottom"/>
          </w:tcPr>
          <w:p w14:paraId="0D33124E" w14:textId="77777777" w:rsidR="00E84D38" w:rsidRPr="00CC6658" w:rsidRDefault="00E84D38" w:rsidP="00FE30D1">
            <w:pPr>
              <w:pStyle w:val="Pa28"/>
              <w:widowControl w:val="0"/>
              <w:spacing w:before="100"/>
              <w:jc w:val="center"/>
              <w:rPr>
                <w:rFonts w:ascii="Gill Sans MT" w:hAnsi="Gill Sans MT" w:cs="Gill Sans MT Pro Medium"/>
                <w:color w:val="000000"/>
                <w:sz w:val="18"/>
                <w:szCs w:val="18"/>
              </w:rPr>
            </w:pPr>
            <w:r w:rsidRPr="00CC6658">
              <w:rPr>
                <w:rFonts w:ascii="Gill Sans MT" w:hAnsi="Gill Sans MT" w:cs="Gill Sans MT Pro Medium"/>
                <w:b/>
                <w:bCs/>
                <w:color w:val="000000"/>
                <w:sz w:val="18"/>
                <w:szCs w:val="18"/>
              </w:rPr>
              <w:t>201</w:t>
            </w:r>
            <w:r w:rsidRPr="00F934A2">
              <w:rPr>
                <w:rFonts w:ascii="Gill Sans MT" w:hAnsi="Gill Sans MT" w:cs="Gill Sans MT Pro Medium"/>
                <w:b/>
                <w:bCs/>
                <w:color w:val="000000"/>
                <w:sz w:val="18"/>
                <w:szCs w:val="18"/>
              </w:rPr>
              <w:t>7</w:t>
            </w:r>
            <w:r w:rsidRPr="00CC6658">
              <w:rPr>
                <w:rFonts w:ascii="Gill Sans MT" w:hAnsi="Gill Sans MT" w:cs="Gill Sans MT Pro Medium"/>
                <w:b/>
                <w:bCs/>
                <w:color w:val="000000"/>
                <w:sz w:val="18"/>
                <w:szCs w:val="18"/>
              </w:rPr>
              <w:t>-1</w:t>
            </w:r>
            <w:r w:rsidRPr="00F934A2">
              <w:rPr>
                <w:rFonts w:ascii="Gill Sans MT" w:hAnsi="Gill Sans MT" w:cs="Gill Sans MT Pro Medium"/>
                <w:b/>
                <w:bCs/>
                <w:color w:val="000000"/>
                <w:sz w:val="18"/>
                <w:szCs w:val="18"/>
              </w:rPr>
              <w:t>8</w:t>
            </w:r>
            <w:r w:rsidRPr="00CC6658">
              <w:rPr>
                <w:rFonts w:ascii="Gill Sans MT" w:hAnsi="Gill Sans MT" w:cs="Gill Sans MT Pro Medium"/>
                <w:b/>
                <w:bCs/>
                <w:color w:val="000000"/>
                <w:sz w:val="18"/>
                <w:szCs w:val="18"/>
              </w:rPr>
              <w:t xml:space="preserve"> Actual</w:t>
            </w:r>
          </w:p>
        </w:tc>
        <w:tc>
          <w:tcPr>
            <w:tcW w:w="1375" w:type="dxa"/>
            <w:vAlign w:val="bottom"/>
          </w:tcPr>
          <w:p w14:paraId="7B51E45E" w14:textId="77777777" w:rsidR="00E84D38" w:rsidRPr="00CC6658" w:rsidRDefault="00E84D38" w:rsidP="00FE30D1">
            <w:pPr>
              <w:pStyle w:val="Pa28"/>
              <w:widowControl w:val="0"/>
              <w:spacing w:before="100"/>
              <w:jc w:val="center"/>
              <w:rPr>
                <w:rFonts w:ascii="Gill Sans MT" w:hAnsi="Gill Sans MT" w:cs="Gill Sans MT Pro Medium"/>
                <w:color w:val="000000"/>
                <w:sz w:val="18"/>
                <w:szCs w:val="18"/>
              </w:rPr>
            </w:pPr>
            <w:r w:rsidRPr="00CC6658">
              <w:rPr>
                <w:rFonts w:ascii="Gill Sans MT" w:hAnsi="Gill Sans MT" w:cs="Gill Sans MT Pro Medium"/>
                <w:b/>
                <w:bCs/>
                <w:color w:val="000000"/>
                <w:sz w:val="18"/>
                <w:szCs w:val="18"/>
              </w:rPr>
              <w:t>201</w:t>
            </w:r>
            <w:r w:rsidRPr="00F934A2">
              <w:rPr>
                <w:rFonts w:ascii="Gill Sans MT" w:hAnsi="Gill Sans MT" w:cs="Gill Sans MT Pro Medium"/>
                <w:b/>
                <w:bCs/>
                <w:color w:val="000000"/>
                <w:sz w:val="18"/>
                <w:szCs w:val="18"/>
              </w:rPr>
              <w:t>8</w:t>
            </w:r>
            <w:r w:rsidRPr="00CC6658">
              <w:rPr>
                <w:rFonts w:ascii="Gill Sans MT" w:hAnsi="Gill Sans MT" w:cs="Gill Sans MT Pro Medium"/>
                <w:b/>
                <w:bCs/>
                <w:color w:val="000000"/>
                <w:sz w:val="18"/>
                <w:szCs w:val="18"/>
              </w:rPr>
              <w:t>-1</w:t>
            </w:r>
            <w:r w:rsidRPr="00F934A2">
              <w:rPr>
                <w:rFonts w:ascii="Gill Sans MT" w:hAnsi="Gill Sans MT" w:cs="Gill Sans MT Pro Medium"/>
                <w:b/>
                <w:bCs/>
                <w:color w:val="000000"/>
                <w:sz w:val="18"/>
                <w:szCs w:val="18"/>
              </w:rPr>
              <w:t>9</w:t>
            </w:r>
            <w:r w:rsidRPr="00CC6658">
              <w:rPr>
                <w:rFonts w:ascii="Gill Sans MT" w:hAnsi="Gill Sans MT" w:cs="Gill Sans MT Pro Medium"/>
                <w:b/>
                <w:bCs/>
                <w:color w:val="000000"/>
                <w:sz w:val="18"/>
                <w:szCs w:val="18"/>
              </w:rPr>
              <w:t xml:space="preserve"> Target</w:t>
            </w:r>
          </w:p>
        </w:tc>
        <w:tc>
          <w:tcPr>
            <w:tcW w:w="1375" w:type="dxa"/>
            <w:vAlign w:val="bottom"/>
          </w:tcPr>
          <w:p w14:paraId="0FB2E688" w14:textId="77777777" w:rsidR="00E84D38" w:rsidRPr="00CC6658" w:rsidRDefault="00E84D38" w:rsidP="00FE30D1">
            <w:pPr>
              <w:pStyle w:val="Pa28"/>
              <w:widowControl w:val="0"/>
              <w:spacing w:before="100"/>
              <w:jc w:val="center"/>
              <w:rPr>
                <w:rFonts w:ascii="Gill Sans MT" w:hAnsi="Gill Sans MT" w:cs="Gill Sans MT Pro Medium"/>
                <w:color w:val="000000"/>
                <w:sz w:val="18"/>
                <w:szCs w:val="18"/>
              </w:rPr>
            </w:pPr>
            <w:r w:rsidRPr="00CC6658">
              <w:rPr>
                <w:rFonts w:ascii="Gill Sans MT" w:hAnsi="Gill Sans MT" w:cs="Gill Sans MT Pro Medium"/>
                <w:b/>
                <w:bCs/>
                <w:color w:val="000000"/>
                <w:sz w:val="18"/>
                <w:szCs w:val="18"/>
              </w:rPr>
              <w:t>201</w:t>
            </w:r>
            <w:r w:rsidRPr="00F934A2">
              <w:rPr>
                <w:rFonts w:ascii="Gill Sans MT" w:hAnsi="Gill Sans MT" w:cs="Gill Sans MT Pro Medium"/>
                <w:b/>
                <w:bCs/>
                <w:color w:val="000000"/>
                <w:sz w:val="18"/>
                <w:szCs w:val="18"/>
              </w:rPr>
              <w:t>8</w:t>
            </w:r>
            <w:r w:rsidRPr="00CC6658">
              <w:rPr>
                <w:rFonts w:ascii="Gill Sans MT" w:hAnsi="Gill Sans MT" w:cs="Gill Sans MT Pro Medium"/>
                <w:b/>
                <w:bCs/>
                <w:color w:val="000000"/>
                <w:sz w:val="18"/>
                <w:szCs w:val="18"/>
              </w:rPr>
              <w:t>-1</w:t>
            </w:r>
            <w:r w:rsidRPr="00F934A2">
              <w:rPr>
                <w:rFonts w:ascii="Gill Sans MT" w:hAnsi="Gill Sans MT" w:cs="Gill Sans MT Pro Medium"/>
                <w:b/>
                <w:bCs/>
                <w:color w:val="000000"/>
                <w:sz w:val="18"/>
                <w:szCs w:val="18"/>
              </w:rPr>
              <w:t>9</w:t>
            </w:r>
            <w:r w:rsidRPr="00CC6658">
              <w:rPr>
                <w:rFonts w:ascii="Gill Sans MT" w:hAnsi="Gill Sans MT" w:cs="Gill Sans MT Pro Medium"/>
                <w:b/>
                <w:bCs/>
                <w:color w:val="000000"/>
                <w:sz w:val="18"/>
                <w:szCs w:val="18"/>
              </w:rPr>
              <w:t xml:space="preserve"> Actual</w:t>
            </w:r>
          </w:p>
        </w:tc>
      </w:tr>
      <w:tr w:rsidR="00E84D38" w:rsidRPr="00CC6658" w14:paraId="4FED848E" w14:textId="77777777" w:rsidTr="00891761">
        <w:trPr>
          <w:jc w:val="center"/>
        </w:trPr>
        <w:tc>
          <w:tcPr>
            <w:tcW w:w="1650" w:type="dxa"/>
            <w:vAlign w:val="center"/>
          </w:tcPr>
          <w:p w14:paraId="6371E71D" w14:textId="77777777" w:rsidR="00E84D38" w:rsidRPr="00CC6658" w:rsidRDefault="00E84D38" w:rsidP="00E84D38">
            <w:pPr>
              <w:pStyle w:val="Pa11"/>
              <w:widowControl w:val="0"/>
              <w:spacing w:before="100"/>
              <w:jc w:val="center"/>
              <w:rPr>
                <w:rFonts w:ascii="Gill Sans MT" w:hAnsi="Gill Sans MT" w:cs="Gill Sans MT Pro Light"/>
                <w:color w:val="000000"/>
                <w:sz w:val="18"/>
                <w:szCs w:val="18"/>
              </w:rPr>
            </w:pPr>
            <w:r w:rsidRPr="00CC6658">
              <w:rPr>
                <w:rFonts w:ascii="Gill Sans MT" w:hAnsi="Gill Sans MT" w:cs="Gill Sans MT Pro Light"/>
                <w:color w:val="000000"/>
                <w:sz w:val="18"/>
                <w:szCs w:val="18"/>
              </w:rPr>
              <w:t xml:space="preserve">Random breath </w:t>
            </w:r>
            <w:r w:rsidRPr="00CC6658">
              <w:rPr>
                <w:rFonts w:ascii="Gill Sans MT" w:hAnsi="Gill Sans MT" w:cs="Gill Sans MT Pro Light"/>
                <w:color w:val="000000"/>
                <w:sz w:val="18"/>
                <w:szCs w:val="18"/>
              </w:rPr>
              <w:lastRenderedPageBreak/>
              <w:t>tests conducted</w:t>
            </w:r>
          </w:p>
        </w:tc>
        <w:tc>
          <w:tcPr>
            <w:tcW w:w="1103" w:type="dxa"/>
            <w:vAlign w:val="center"/>
          </w:tcPr>
          <w:p w14:paraId="23BC2505"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CC6658">
              <w:rPr>
                <w:rFonts w:ascii="Gill Sans MT" w:hAnsi="Gill Sans MT" w:cs="Gill Sans MT Pro Light"/>
                <w:color w:val="000000"/>
                <w:sz w:val="18"/>
                <w:szCs w:val="18"/>
              </w:rPr>
              <w:lastRenderedPageBreak/>
              <w:t>Number</w:t>
            </w:r>
          </w:p>
        </w:tc>
        <w:tc>
          <w:tcPr>
            <w:tcW w:w="1375" w:type="dxa"/>
            <w:vAlign w:val="center"/>
          </w:tcPr>
          <w:p w14:paraId="03E4F05C"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469,610</w:t>
            </w:r>
          </w:p>
        </w:tc>
        <w:tc>
          <w:tcPr>
            <w:tcW w:w="1375" w:type="dxa"/>
            <w:vAlign w:val="center"/>
          </w:tcPr>
          <w:p w14:paraId="00E5AE1A"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505,445</w:t>
            </w:r>
          </w:p>
        </w:tc>
        <w:tc>
          <w:tcPr>
            <w:tcW w:w="1375" w:type="dxa"/>
            <w:vAlign w:val="center"/>
          </w:tcPr>
          <w:p w14:paraId="0654C329"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478,219</w:t>
            </w:r>
          </w:p>
        </w:tc>
        <w:tc>
          <w:tcPr>
            <w:tcW w:w="1375" w:type="dxa"/>
            <w:vAlign w:val="center"/>
          </w:tcPr>
          <w:p w14:paraId="7CCFB9B5"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440,000</w:t>
            </w:r>
          </w:p>
        </w:tc>
        <w:tc>
          <w:tcPr>
            <w:tcW w:w="1375" w:type="dxa"/>
            <w:vAlign w:val="center"/>
          </w:tcPr>
          <w:p w14:paraId="48145AD5" w14:textId="77777777" w:rsidR="00E84D38" w:rsidRPr="00CC6658" w:rsidRDefault="00E84D38" w:rsidP="00E84D38">
            <w:pPr>
              <w:pStyle w:val="Pa29"/>
              <w:widowControl w:val="0"/>
              <w:spacing w:before="100"/>
              <w:jc w:val="center"/>
              <w:rPr>
                <w:rFonts w:ascii="Gill Sans MT" w:hAnsi="Gill Sans MT" w:cs="Gill Sans MT Pro Medium"/>
                <w:color w:val="000000"/>
                <w:sz w:val="18"/>
                <w:szCs w:val="18"/>
              </w:rPr>
            </w:pPr>
            <w:r w:rsidRPr="00F934A2">
              <w:rPr>
                <w:rFonts w:ascii="Gill Sans MT" w:hAnsi="Gill Sans MT" w:cs="Arial"/>
                <w:sz w:val="18"/>
                <w:szCs w:val="18"/>
              </w:rPr>
              <w:t>438,322</w:t>
            </w:r>
          </w:p>
        </w:tc>
      </w:tr>
      <w:tr w:rsidR="00E84D38" w:rsidRPr="00CC6658" w14:paraId="3A09C6A8" w14:textId="77777777" w:rsidTr="00891761">
        <w:trPr>
          <w:jc w:val="center"/>
        </w:trPr>
        <w:tc>
          <w:tcPr>
            <w:tcW w:w="1650" w:type="dxa"/>
            <w:vAlign w:val="center"/>
          </w:tcPr>
          <w:p w14:paraId="660319FE" w14:textId="77777777" w:rsidR="00E84D38" w:rsidRPr="00CC6658" w:rsidRDefault="00E84D38" w:rsidP="00E84D38">
            <w:pPr>
              <w:pStyle w:val="Pa11"/>
              <w:widowControl w:val="0"/>
              <w:spacing w:before="100"/>
              <w:jc w:val="center"/>
              <w:rPr>
                <w:rFonts w:ascii="Gill Sans MT" w:hAnsi="Gill Sans MT" w:cs="Gill Sans MT Pro Light"/>
                <w:color w:val="000000"/>
                <w:sz w:val="18"/>
                <w:szCs w:val="18"/>
              </w:rPr>
            </w:pPr>
            <w:r w:rsidRPr="00CC6658">
              <w:rPr>
                <w:rFonts w:ascii="Gill Sans MT" w:hAnsi="Gill Sans MT" w:cs="Gill Sans MT Pro Light"/>
                <w:color w:val="000000"/>
                <w:sz w:val="18"/>
                <w:szCs w:val="18"/>
              </w:rPr>
              <w:t xml:space="preserve">Number of </w:t>
            </w:r>
            <w:proofErr w:type="gramStart"/>
            <w:r w:rsidRPr="00CC6658">
              <w:rPr>
                <w:rFonts w:ascii="Gill Sans MT" w:hAnsi="Gill Sans MT" w:cs="Gill Sans MT Pro Light"/>
                <w:color w:val="000000"/>
                <w:sz w:val="18"/>
                <w:szCs w:val="18"/>
              </w:rPr>
              <w:t>drink</w:t>
            </w:r>
            <w:proofErr w:type="gramEnd"/>
            <w:r w:rsidRPr="00F934A2">
              <w:rPr>
                <w:rFonts w:ascii="Gill Sans MT" w:hAnsi="Gill Sans MT" w:cs="Gill Sans MT Pro Light"/>
                <w:color w:val="000000"/>
                <w:sz w:val="18"/>
                <w:szCs w:val="18"/>
              </w:rPr>
              <w:t xml:space="preserve"> </w:t>
            </w:r>
            <w:r w:rsidRPr="00CC6658">
              <w:rPr>
                <w:rFonts w:ascii="Gill Sans MT" w:hAnsi="Gill Sans MT" w:cs="Gill Sans MT Pro Light"/>
                <w:color w:val="000000"/>
                <w:sz w:val="18"/>
                <w:szCs w:val="18"/>
              </w:rPr>
              <w:t>driving offenders</w:t>
            </w:r>
          </w:p>
        </w:tc>
        <w:tc>
          <w:tcPr>
            <w:tcW w:w="1103" w:type="dxa"/>
            <w:vAlign w:val="center"/>
          </w:tcPr>
          <w:p w14:paraId="20092062"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CC6658">
              <w:rPr>
                <w:rFonts w:ascii="Gill Sans MT" w:hAnsi="Gill Sans MT" w:cs="Gill Sans MT Pro Light"/>
                <w:color w:val="000000"/>
                <w:sz w:val="18"/>
                <w:szCs w:val="18"/>
              </w:rPr>
              <w:t>Number</w:t>
            </w:r>
          </w:p>
        </w:tc>
        <w:tc>
          <w:tcPr>
            <w:tcW w:w="1375" w:type="dxa"/>
            <w:vAlign w:val="center"/>
          </w:tcPr>
          <w:p w14:paraId="192C13CA"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2,400</w:t>
            </w:r>
          </w:p>
        </w:tc>
        <w:tc>
          <w:tcPr>
            <w:tcW w:w="1375" w:type="dxa"/>
            <w:vAlign w:val="center"/>
          </w:tcPr>
          <w:p w14:paraId="4AFFEB19"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2,296</w:t>
            </w:r>
          </w:p>
        </w:tc>
        <w:tc>
          <w:tcPr>
            <w:tcW w:w="1375" w:type="dxa"/>
            <w:vAlign w:val="center"/>
          </w:tcPr>
          <w:p w14:paraId="56EAF932"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2,173</w:t>
            </w:r>
          </w:p>
        </w:tc>
        <w:tc>
          <w:tcPr>
            <w:tcW w:w="1375" w:type="dxa"/>
            <w:vAlign w:val="center"/>
          </w:tcPr>
          <w:p w14:paraId="0F66C836"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2,550</w:t>
            </w:r>
          </w:p>
        </w:tc>
        <w:tc>
          <w:tcPr>
            <w:tcW w:w="1375" w:type="dxa"/>
            <w:vAlign w:val="center"/>
          </w:tcPr>
          <w:p w14:paraId="751B794F" w14:textId="77777777" w:rsidR="00E84D38" w:rsidRPr="00CC6658" w:rsidRDefault="00E84D38" w:rsidP="00E84D38">
            <w:pPr>
              <w:pStyle w:val="Pa29"/>
              <w:widowControl w:val="0"/>
              <w:spacing w:before="100"/>
              <w:jc w:val="center"/>
              <w:rPr>
                <w:rFonts w:ascii="Gill Sans MT" w:hAnsi="Gill Sans MT" w:cs="Gill Sans MT Pro Medium"/>
                <w:color w:val="000000"/>
                <w:sz w:val="18"/>
                <w:szCs w:val="18"/>
              </w:rPr>
            </w:pPr>
            <w:r w:rsidRPr="00F934A2">
              <w:rPr>
                <w:rFonts w:ascii="Gill Sans MT" w:hAnsi="Gill Sans MT" w:cs="Arial"/>
                <w:sz w:val="18"/>
                <w:szCs w:val="18"/>
              </w:rPr>
              <w:t>1,905</w:t>
            </w:r>
          </w:p>
        </w:tc>
      </w:tr>
      <w:tr w:rsidR="00E84D38" w:rsidRPr="00CC6658" w14:paraId="3036BFDA" w14:textId="77777777" w:rsidTr="00891761">
        <w:trPr>
          <w:jc w:val="center"/>
        </w:trPr>
        <w:tc>
          <w:tcPr>
            <w:tcW w:w="1650" w:type="dxa"/>
            <w:vAlign w:val="center"/>
          </w:tcPr>
          <w:p w14:paraId="2416F7B8" w14:textId="77777777" w:rsidR="00E84D38" w:rsidRPr="00CC6658" w:rsidRDefault="00E84D38" w:rsidP="00E84D38">
            <w:pPr>
              <w:pStyle w:val="Pa11"/>
              <w:widowControl w:val="0"/>
              <w:spacing w:before="100"/>
              <w:jc w:val="center"/>
              <w:rPr>
                <w:rFonts w:ascii="Gill Sans MT" w:hAnsi="Gill Sans MT" w:cs="Gill Sans MT Pro Light"/>
                <w:color w:val="000000"/>
                <w:sz w:val="18"/>
                <w:szCs w:val="18"/>
              </w:rPr>
            </w:pPr>
            <w:r w:rsidRPr="00CC6658">
              <w:rPr>
                <w:rFonts w:ascii="Gill Sans MT" w:hAnsi="Gill Sans MT" w:cs="Gill Sans MT Pro Light"/>
                <w:color w:val="000000"/>
                <w:sz w:val="18"/>
                <w:szCs w:val="18"/>
              </w:rPr>
              <w:t>Oral fluid tests conducted</w:t>
            </w:r>
          </w:p>
        </w:tc>
        <w:tc>
          <w:tcPr>
            <w:tcW w:w="1103" w:type="dxa"/>
            <w:vAlign w:val="center"/>
          </w:tcPr>
          <w:p w14:paraId="202A1BC5"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CC6658">
              <w:rPr>
                <w:rFonts w:ascii="Gill Sans MT" w:hAnsi="Gill Sans MT" w:cs="Gill Sans MT Pro Light"/>
                <w:color w:val="000000"/>
                <w:sz w:val="18"/>
                <w:szCs w:val="18"/>
              </w:rPr>
              <w:t>Number</w:t>
            </w:r>
          </w:p>
        </w:tc>
        <w:tc>
          <w:tcPr>
            <w:tcW w:w="1375" w:type="dxa"/>
            <w:vAlign w:val="center"/>
          </w:tcPr>
          <w:p w14:paraId="0A782AD0"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3,738</w:t>
            </w:r>
          </w:p>
        </w:tc>
        <w:tc>
          <w:tcPr>
            <w:tcW w:w="1375" w:type="dxa"/>
            <w:vAlign w:val="center"/>
          </w:tcPr>
          <w:p w14:paraId="3F0F23A9"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3,726</w:t>
            </w:r>
          </w:p>
        </w:tc>
        <w:tc>
          <w:tcPr>
            <w:tcW w:w="1375" w:type="dxa"/>
            <w:vAlign w:val="center"/>
          </w:tcPr>
          <w:p w14:paraId="42D7E9C7"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3,936</w:t>
            </w:r>
          </w:p>
        </w:tc>
        <w:tc>
          <w:tcPr>
            <w:tcW w:w="1375" w:type="dxa"/>
            <w:vAlign w:val="center"/>
          </w:tcPr>
          <w:p w14:paraId="703059E5"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3,250</w:t>
            </w:r>
          </w:p>
        </w:tc>
        <w:tc>
          <w:tcPr>
            <w:tcW w:w="1375" w:type="dxa"/>
            <w:vAlign w:val="center"/>
          </w:tcPr>
          <w:p w14:paraId="09F5A7E5" w14:textId="77777777" w:rsidR="00E84D38" w:rsidRPr="00CC6658" w:rsidRDefault="00E84D38" w:rsidP="00E84D38">
            <w:pPr>
              <w:pStyle w:val="Pa29"/>
              <w:widowControl w:val="0"/>
              <w:spacing w:before="100"/>
              <w:jc w:val="center"/>
              <w:rPr>
                <w:rFonts w:ascii="Gill Sans MT" w:hAnsi="Gill Sans MT" w:cs="Gill Sans MT Pro Medium"/>
                <w:color w:val="000000"/>
                <w:sz w:val="18"/>
                <w:szCs w:val="18"/>
              </w:rPr>
            </w:pPr>
            <w:r w:rsidRPr="00F934A2">
              <w:rPr>
                <w:rFonts w:ascii="Gill Sans MT" w:hAnsi="Gill Sans MT" w:cs="Arial"/>
                <w:sz w:val="18"/>
                <w:szCs w:val="18"/>
              </w:rPr>
              <w:t>4,518</w:t>
            </w:r>
          </w:p>
        </w:tc>
      </w:tr>
      <w:tr w:rsidR="00E84D38" w:rsidRPr="00CC6658" w14:paraId="3A7C6B4D" w14:textId="77777777" w:rsidTr="00891761">
        <w:trPr>
          <w:jc w:val="center"/>
        </w:trPr>
        <w:tc>
          <w:tcPr>
            <w:tcW w:w="1650" w:type="dxa"/>
            <w:vAlign w:val="center"/>
          </w:tcPr>
          <w:p w14:paraId="3F6AE8DC" w14:textId="77777777" w:rsidR="00E84D38" w:rsidRPr="00CC6658" w:rsidRDefault="00E84D38" w:rsidP="00E84D38">
            <w:pPr>
              <w:pStyle w:val="Pa11"/>
              <w:widowControl w:val="0"/>
              <w:spacing w:before="100"/>
              <w:jc w:val="center"/>
              <w:rPr>
                <w:rFonts w:ascii="Gill Sans MT" w:hAnsi="Gill Sans MT" w:cs="Gill Sans MT Pro Light"/>
                <w:color w:val="000000"/>
                <w:sz w:val="18"/>
                <w:szCs w:val="18"/>
              </w:rPr>
            </w:pPr>
            <w:r w:rsidRPr="00CC6658">
              <w:rPr>
                <w:rFonts w:ascii="Gill Sans MT" w:hAnsi="Gill Sans MT" w:cs="Gill Sans MT Pro Light"/>
                <w:color w:val="000000"/>
                <w:sz w:val="18"/>
                <w:szCs w:val="18"/>
              </w:rPr>
              <w:t>Number of drug driving offenders</w:t>
            </w:r>
          </w:p>
        </w:tc>
        <w:tc>
          <w:tcPr>
            <w:tcW w:w="1103" w:type="dxa"/>
            <w:vAlign w:val="center"/>
          </w:tcPr>
          <w:p w14:paraId="03741186"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CC6658">
              <w:rPr>
                <w:rFonts w:ascii="Gill Sans MT" w:hAnsi="Gill Sans MT" w:cs="Gill Sans MT Pro Light"/>
                <w:color w:val="000000"/>
                <w:sz w:val="18"/>
                <w:szCs w:val="18"/>
              </w:rPr>
              <w:t>Number</w:t>
            </w:r>
          </w:p>
        </w:tc>
        <w:tc>
          <w:tcPr>
            <w:tcW w:w="1375" w:type="dxa"/>
            <w:vAlign w:val="center"/>
          </w:tcPr>
          <w:p w14:paraId="16D0EDBE"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2,021</w:t>
            </w:r>
          </w:p>
        </w:tc>
        <w:tc>
          <w:tcPr>
            <w:tcW w:w="1375" w:type="dxa"/>
            <w:vAlign w:val="center"/>
          </w:tcPr>
          <w:p w14:paraId="683D3E01"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2,158</w:t>
            </w:r>
          </w:p>
        </w:tc>
        <w:tc>
          <w:tcPr>
            <w:tcW w:w="1375" w:type="dxa"/>
            <w:vAlign w:val="center"/>
          </w:tcPr>
          <w:p w14:paraId="10809E1C"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2,213</w:t>
            </w:r>
          </w:p>
        </w:tc>
        <w:tc>
          <w:tcPr>
            <w:tcW w:w="1375" w:type="dxa"/>
            <w:vAlign w:val="center"/>
          </w:tcPr>
          <w:p w14:paraId="313E414F" w14:textId="77777777" w:rsidR="00E84D38" w:rsidRPr="00CC6658" w:rsidRDefault="00E84D38" w:rsidP="00E84D38">
            <w:pPr>
              <w:pStyle w:val="Pa29"/>
              <w:widowControl w:val="0"/>
              <w:spacing w:before="100"/>
              <w:jc w:val="center"/>
              <w:rPr>
                <w:rFonts w:ascii="Gill Sans MT" w:hAnsi="Gill Sans MT" w:cs="Gill Sans MT Pro Light"/>
                <w:color w:val="000000"/>
                <w:sz w:val="18"/>
                <w:szCs w:val="18"/>
              </w:rPr>
            </w:pPr>
            <w:r w:rsidRPr="00F934A2">
              <w:rPr>
                <w:rFonts w:ascii="Gill Sans MT" w:hAnsi="Gill Sans MT" w:cs="Arial"/>
                <w:sz w:val="18"/>
                <w:szCs w:val="18"/>
              </w:rPr>
              <w:t>1,700</w:t>
            </w:r>
          </w:p>
        </w:tc>
        <w:tc>
          <w:tcPr>
            <w:tcW w:w="1375" w:type="dxa"/>
            <w:vAlign w:val="center"/>
          </w:tcPr>
          <w:p w14:paraId="3C5C42D3" w14:textId="77777777" w:rsidR="00E84D38" w:rsidRPr="00CC6658" w:rsidRDefault="00E84D38" w:rsidP="00E84D38">
            <w:pPr>
              <w:pStyle w:val="Pa29"/>
              <w:widowControl w:val="0"/>
              <w:spacing w:before="100"/>
              <w:jc w:val="center"/>
              <w:rPr>
                <w:rFonts w:ascii="Gill Sans MT" w:hAnsi="Gill Sans MT" w:cs="Gill Sans MT Pro Medium"/>
                <w:color w:val="000000"/>
                <w:sz w:val="18"/>
                <w:szCs w:val="18"/>
              </w:rPr>
            </w:pPr>
            <w:r w:rsidRPr="00F934A2">
              <w:rPr>
                <w:rFonts w:ascii="Gill Sans MT" w:hAnsi="Gill Sans MT" w:cs="Arial"/>
                <w:sz w:val="18"/>
                <w:szCs w:val="18"/>
              </w:rPr>
              <w:t>2,430</w:t>
            </w:r>
          </w:p>
        </w:tc>
      </w:tr>
    </w:tbl>
    <w:p w14:paraId="522D29DC" w14:textId="77777777" w:rsidR="00E84D38" w:rsidRDefault="00E84D38" w:rsidP="0016269B">
      <w:pPr>
        <w:pStyle w:val="DHHSbody"/>
        <w:widowControl w:val="0"/>
        <w:spacing w:after="140" w:line="240" w:lineRule="auto"/>
        <w:rPr>
          <w:rFonts w:ascii="Gill Sans MT" w:hAnsi="Gill Sans MT"/>
          <w:i/>
          <w:sz w:val="18"/>
          <w:szCs w:val="18"/>
        </w:rPr>
      </w:pPr>
      <w:r w:rsidRPr="00CC6658">
        <w:rPr>
          <w:rFonts w:ascii="Gill Sans MT" w:hAnsi="Gill Sans MT"/>
          <w:i/>
          <w:sz w:val="18"/>
          <w:szCs w:val="18"/>
        </w:rPr>
        <w:t>Source: 2018-19 Department of Police, Fire and Emergency Management Annual Report</w:t>
      </w:r>
    </w:p>
    <w:p w14:paraId="5ACB5809" w14:textId="77777777" w:rsidR="00891761" w:rsidRPr="009122F5" w:rsidRDefault="00891761" w:rsidP="00891761">
      <w:pPr>
        <w:pStyle w:val="ListParagraph"/>
        <w:widowControl w:val="0"/>
        <w:numPr>
          <w:ilvl w:val="0"/>
          <w:numId w:val="46"/>
        </w:numPr>
        <w:spacing w:before="0" w:after="140" w:line="280" w:lineRule="atLeast"/>
        <w:ind w:left="425" w:hanging="425"/>
        <w:contextualSpacing w:val="0"/>
        <w:jc w:val="left"/>
        <w:rPr>
          <w:rFonts w:ascii="Gill Sans MT" w:hAnsi="Gill Sans MT"/>
          <w:sz w:val="22"/>
          <w:lang w:eastAsia="ja-JP"/>
        </w:rPr>
      </w:pPr>
      <w:r w:rsidRPr="009122F5">
        <w:rPr>
          <w:rFonts w:ascii="Gill Sans MT" w:hAnsi="Gill Sans MT"/>
          <w:sz w:val="22"/>
          <w:lang w:eastAsia="ja-JP"/>
        </w:rPr>
        <w:t>Public place assaults statewide increased by nine percent in 2018-19, following a one perc</w:t>
      </w:r>
      <w:r>
        <w:rPr>
          <w:rFonts w:ascii="Gill Sans MT" w:hAnsi="Gill Sans MT"/>
          <w:sz w:val="22"/>
          <w:lang w:eastAsia="ja-JP"/>
        </w:rPr>
        <w:t>ent increase the previous year</w:t>
      </w:r>
      <w:r w:rsidRPr="009122F5">
        <w:rPr>
          <w:rFonts w:ascii="Gill Sans MT" w:hAnsi="Gill Sans MT"/>
          <w:sz w:val="22"/>
          <w:lang w:eastAsia="ja-JP"/>
        </w:rPr>
        <w:t>. The increase in public place assaults this year followed a period of minimal variation in the previous several years.</w:t>
      </w:r>
    </w:p>
    <w:p w14:paraId="45FD317A" w14:textId="77777777" w:rsidR="00891761" w:rsidRDefault="00891761" w:rsidP="002D749E">
      <w:pPr>
        <w:widowControl w:val="0"/>
        <w:spacing w:line="280" w:lineRule="atLeast"/>
        <w:jc w:val="center"/>
        <w:rPr>
          <w:highlight w:val="yellow"/>
          <w:lang w:eastAsia="ja-JP"/>
        </w:rPr>
      </w:pPr>
      <w:r>
        <w:rPr>
          <w:rFonts w:cs="Arial"/>
          <w:b/>
          <w:noProof/>
          <w:lang w:eastAsia="en-AU"/>
        </w:rPr>
        <w:drawing>
          <wp:inline distT="0" distB="0" distL="0" distR="0" wp14:anchorId="05B43A92" wp14:editId="479F0F31">
            <wp:extent cx="4622526" cy="2404973"/>
            <wp:effectExtent l="19050" t="19050" r="26035" b="14605"/>
            <wp:docPr id="16" name="Picture 16" descr="Tasmanian Police data: Number of offences increased from 818 2017-18 to 889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7868" cy="2433766"/>
                    </a:xfrm>
                    <a:prstGeom prst="rect">
                      <a:avLst/>
                    </a:prstGeom>
                    <a:noFill/>
                    <a:ln>
                      <a:solidFill>
                        <a:schemeClr val="bg1">
                          <a:lumMod val="75000"/>
                        </a:schemeClr>
                      </a:solidFill>
                    </a:ln>
                  </pic:spPr>
                </pic:pic>
              </a:graphicData>
            </a:graphic>
          </wp:inline>
        </w:drawing>
      </w:r>
    </w:p>
    <w:p w14:paraId="1D5FF7DA" w14:textId="77777777" w:rsidR="00891761" w:rsidRDefault="00891761" w:rsidP="00891761">
      <w:pPr>
        <w:pStyle w:val="SourceFormat"/>
        <w:spacing w:before="0" w:after="140" w:line="280" w:lineRule="atLeast"/>
        <w:rPr>
          <w:i/>
        </w:rPr>
      </w:pPr>
      <w:r w:rsidRPr="00C579D5">
        <w:rPr>
          <w:i/>
        </w:rPr>
        <w:t>Source: Tasmania Police Offence Reporting System</w:t>
      </w:r>
      <w:r>
        <w:rPr>
          <w:i/>
        </w:rPr>
        <w:t>, Tasmania Police</w:t>
      </w:r>
    </w:p>
    <w:p w14:paraId="29ABC24D" w14:textId="4F122D2E" w:rsidR="00253BE8" w:rsidRPr="00253BE8" w:rsidRDefault="00253BE8" w:rsidP="0016269B">
      <w:pPr>
        <w:pStyle w:val="DHHSbody"/>
        <w:widowControl w:val="0"/>
        <w:spacing w:after="140" w:line="240" w:lineRule="auto"/>
        <w:rPr>
          <w:rFonts w:ascii="Gill Sans MT" w:hAnsi="Gill Sans MT"/>
          <w:sz w:val="22"/>
          <w:szCs w:val="22"/>
        </w:rPr>
      </w:pPr>
      <w:r w:rsidRPr="00253BE8">
        <w:rPr>
          <w:rFonts w:ascii="Gill Sans MT" w:hAnsi="Gill Sans MT"/>
          <w:sz w:val="22"/>
          <w:szCs w:val="22"/>
        </w:rPr>
        <w:t xml:space="preserve">The table </w:t>
      </w:r>
      <w:r>
        <w:rPr>
          <w:rFonts w:ascii="Gill Sans MT" w:hAnsi="Gill Sans MT"/>
          <w:sz w:val="22"/>
          <w:szCs w:val="22"/>
        </w:rPr>
        <w:t xml:space="preserve">below shows the total </w:t>
      </w:r>
      <w:r w:rsidR="00CC14ED">
        <w:rPr>
          <w:rFonts w:ascii="Gill Sans MT" w:hAnsi="Gill Sans MT"/>
          <w:sz w:val="22"/>
          <w:szCs w:val="22"/>
        </w:rPr>
        <w:t xml:space="preserve">number of </w:t>
      </w:r>
      <w:r>
        <w:rPr>
          <w:rFonts w:ascii="Gill Sans MT" w:hAnsi="Gill Sans MT"/>
          <w:sz w:val="22"/>
          <w:szCs w:val="22"/>
        </w:rPr>
        <w:t>drug offenders by drug-type</w:t>
      </w:r>
      <w:r w:rsidR="00CC14ED">
        <w:rPr>
          <w:rFonts w:ascii="Gill Sans MT" w:hAnsi="Gill Sans MT"/>
          <w:sz w:val="22"/>
          <w:szCs w:val="22"/>
        </w:rPr>
        <w:t xml:space="preserve"> for 2018-19</w:t>
      </w:r>
      <w:r>
        <w:rPr>
          <w:rFonts w:ascii="Gill Sans MT" w:hAnsi="Gill Sans MT"/>
          <w:sz w:val="22"/>
          <w:szCs w:val="22"/>
        </w:rPr>
        <w:t>.</w:t>
      </w:r>
    </w:p>
    <w:p w14:paraId="3D49D499" w14:textId="77777777" w:rsidR="00CC14ED" w:rsidRPr="00043B5E" w:rsidRDefault="00253BE8" w:rsidP="00CE2BEA">
      <w:pPr>
        <w:spacing w:line="260" w:lineRule="atLeast"/>
        <w:rPr>
          <w:b/>
        </w:rPr>
      </w:pPr>
      <w:r>
        <w:rPr>
          <w:b/>
          <w:noProof/>
          <w:lang w:eastAsia="en-AU"/>
        </w:rPr>
        <w:lastRenderedPageBreak/>
        <w:drawing>
          <wp:inline distT="0" distB="0" distL="0" distR="0" wp14:anchorId="7FE3A2EE" wp14:editId="2BAF6C59">
            <wp:extent cx="5769860" cy="3700732"/>
            <wp:effectExtent l="0" t="0" r="2540" b="0"/>
            <wp:docPr id="17" name="Picture 17" descr="'Drug Offender Categories'&#10;Table grouping drug offenders into serious and other categories by region available at: https://www.police.tas.gov.au/uploads/CPR-January-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C6E39.tmp"/>
                    <pic:cNvPicPr/>
                  </pic:nvPicPr>
                  <pic:blipFill rotWithShape="1">
                    <a:blip r:embed="rId44">
                      <a:extLst>
                        <a:ext uri="{28A0092B-C50C-407E-A947-70E740481C1C}">
                          <a14:useLocalDpi xmlns:a14="http://schemas.microsoft.com/office/drawing/2010/main" val="0"/>
                        </a:ext>
                      </a:extLst>
                    </a:blip>
                    <a:srcRect l="14802" t="29044" r="12457" b="10494"/>
                    <a:stretch/>
                  </pic:blipFill>
                  <pic:spPr bwMode="auto">
                    <a:xfrm>
                      <a:off x="0" y="0"/>
                      <a:ext cx="5803018" cy="3721999"/>
                    </a:xfrm>
                    <a:prstGeom prst="rect">
                      <a:avLst/>
                    </a:prstGeom>
                    <a:ln>
                      <a:noFill/>
                    </a:ln>
                    <a:extLst>
                      <a:ext uri="{53640926-AAD7-44D8-BBD7-CCE9431645EC}">
                        <a14:shadowObscured xmlns:a14="http://schemas.microsoft.com/office/drawing/2010/main"/>
                      </a:ext>
                    </a:extLst>
                  </pic:spPr>
                </pic:pic>
              </a:graphicData>
            </a:graphic>
          </wp:inline>
        </w:drawing>
      </w:r>
      <w:r w:rsidR="00CC14ED">
        <w:rPr>
          <w:i/>
          <w:sz w:val="18"/>
          <w:szCs w:val="18"/>
        </w:rPr>
        <w:br/>
      </w:r>
      <w:r w:rsidR="00CC14ED" w:rsidRPr="00CC6658">
        <w:rPr>
          <w:i/>
          <w:sz w:val="18"/>
          <w:szCs w:val="18"/>
        </w:rPr>
        <w:t xml:space="preserve">Source: 2018-19 </w:t>
      </w:r>
      <w:r w:rsidR="00CC14ED">
        <w:rPr>
          <w:i/>
          <w:sz w:val="18"/>
          <w:szCs w:val="18"/>
        </w:rPr>
        <w:t>Corporate Performance Report, Tasmania Police</w:t>
      </w:r>
    </w:p>
    <w:p w14:paraId="7A4165CE" w14:textId="77777777" w:rsidR="00E24EA1" w:rsidRPr="002D749E" w:rsidRDefault="00E24EA1" w:rsidP="00996CFE">
      <w:pPr>
        <w:pStyle w:val="Heading3"/>
        <w:rPr>
          <w:sz w:val="24"/>
          <w:szCs w:val="24"/>
        </w:rPr>
      </w:pPr>
      <w:r w:rsidRPr="002D749E">
        <w:rPr>
          <w:sz w:val="24"/>
          <w:szCs w:val="24"/>
        </w:rPr>
        <w:t xml:space="preserve">Department of Treasury and Finance, Liquor and Gaming </w:t>
      </w:r>
    </w:p>
    <w:p w14:paraId="54999B1F" w14:textId="73D14436" w:rsidR="006547D1" w:rsidRDefault="006547D1" w:rsidP="006547D1">
      <w:pPr>
        <w:spacing w:after="150" w:line="240" w:lineRule="auto"/>
      </w:pPr>
      <w:r w:rsidRPr="007D7754">
        <w:t xml:space="preserve">This table </w:t>
      </w:r>
      <w:r w:rsidR="00D61FEE">
        <w:t xml:space="preserve">and graph </w:t>
      </w:r>
      <w:r w:rsidRPr="007D7754">
        <w:t>show the number of liquor licences on issue in Tasmania at the end of each financial year</w:t>
      </w:r>
      <w:r w:rsidRPr="006547D1">
        <w:t xml:space="preserve"> over the last 10 years</w:t>
      </w:r>
      <w:r w:rsidRPr="007D7754">
        <w:t>.</w:t>
      </w:r>
    </w:p>
    <w:p w14:paraId="3E32BF9B" w14:textId="25E10754" w:rsidR="00A41797" w:rsidRPr="007D7754" w:rsidRDefault="00A41797" w:rsidP="00A41797">
      <w:pPr>
        <w:spacing w:after="150" w:line="240" w:lineRule="auto"/>
        <w:jc w:val="center"/>
      </w:pPr>
      <w:r>
        <w:t>Type of Liquor Licence</w:t>
      </w:r>
    </w:p>
    <w:tbl>
      <w:tblPr>
        <w:tblW w:w="5000" w:type="pct"/>
        <w:tblBorders>
          <w:top w:val="single" w:sz="6" w:space="0" w:color="666666"/>
          <w:left w:val="single" w:sz="6" w:space="0" w:color="666666"/>
          <w:bottom w:val="single" w:sz="6" w:space="0" w:color="666666"/>
          <w:right w:val="single" w:sz="6" w:space="0" w:color="666666"/>
        </w:tblBorders>
        <w:tblLayout w:type="fixed"/>
        <w:tblCellMar>
          <w:top w:w="90" w:type="dxa"/>
          <w:left w:w="90" w:type="dxa"/>
          <w:bottom w:w="90" w:type="dxa"/>
          <w:right w:w="90" w:type="dxa"/>
        </w:tblCellMar>
        <w:tblLook w:val="04A0" w:firstRow="1" w:lastRow="0" w:firstColumn="1" w:lastColumn="0" w:noHBand="0" w:noVBand="1"/>
      </w:tblPr>
      <w:tblGrid>
        <w:gridCol w:w="1716"/>
        <w:gridCol w:w="1129"/>
        <w:gridCol w:w="1130"/>
        <w:gridCol w:w="1130"/>
        <w:gridCol w:w="983"/>
        <w:gridCol w:w="1276"/>
        <w:gridCol w:w="1130"/>
        <w:gridCol w:w="1128"/>
      </w:tblGrid>
      <w:tr w:rsidR="006547D1" w:rsidRPr="00E56F30" w14:paraId="121E3508" w14:textId="77777777" w:rsidTr="00A41797">
        <w:trPr>
          <w:tblHeader/>
        </w:trPr>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5545B1A" w14:textId="3755DB77" w:rsidR="006547D1" w:rsidRPr="00E56F30" w:rsidRDefault="00A41797" w:rsidP="002D6AED">
            <w:pPr>
              <w:spacing w:after="0" w:line="240" w:lineRule="auto"/>
              <w:jc w:val="center"/>
              <w:rPr>
                <w:sz w:val="18"/>
                <w:szCs w:val="18"/>
              </w:rPr>
            </w:pPr>
            <w:r w:rsidRPr="007D7754">
              <w:rPr>
                <w:b/>
                <w:bCs/>
                <w:sz w:val="20"/>
                <w:szCs w:val="20"/>
              </w:rPr>
              <w:t>End of financial year</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037E4C3" w14:textId="77777777" w:rsidR="006547D1" w:rsidRPr="00E56F30" w:rsidRDefault="006547D1" w:rsidP="00043B5E">
            <w:pPr>
              <w:spacing w:after="0" w:line="240" w:lineRule="auto"/>
              <w:jc w:val="center"/>
              <w:rPr>
                <w:sz w:val="18"/>
                <w:szCs w:val="18"/>
              </w:rPr>
            </w:pPr>
            <w:r w:rsidRPr="00E56F30">
              <w:rPr>
                <w:b/>
                <w:bCs/>
                <w:sz w:val="18"/>
                <w:szCs w:val="18"/>
              </w:rPr>
              <w:t>General</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2B4FF165" w14:textId="77777777" w:rsidR="006547D1" w:rsidRPr="00E56F30" w:rsidRDefault="006547D1" w:rsidP="00043B5E">
            <w:pPr>
              <w:spacing w:after="0" w:line="240" w:lineRule="auto"/>
              <w:jc w:val="center"/>
              <w:rPr>
                <w:sz w:val="18"/>
                <w:szCs w:val="18"/>
              </w:rPr>
            </w:pPr>
            <w:r w:rsidRPr="00E56F30">
              <w:rPr>
                <w:b/>
                <w:bCs/>
                <w:sz w:val="18"/>
                <w:szCs w:val="18"/>
              </w:rPr>
              <w:t>Special</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4EC808A" w14:textId="77777777" w:rsidR="006547D1" w:rsidRPr="00E56F30" w:rsidRDefault="006547D1" w:rsidP="00043B5E">
            <w:pPr>
              <w:spacing w:after="0" w:line="240" w:lineRule="auto"/>
              <w:jc w:val="center"/>
              <w:rPr>
                <w:sz w:val="18"/>
                <w:szCs w:val="18"/>
              </w:rPr>
            </w:pPr>
            <w:r w:rsidRPr="00E56F30">
              <w:rPr>
                <w:b/>
                <w:bCs/>
                <w:sz w:val="18"/>
                <w:szCs w:val="18"/>
              </w:rPr>
              <w:t>Off</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00C0798" w14:textId="77777777" w:rsidR="006547D1" w:rsidRPr="00E56F30" w:rsidRDefault="006547D1" w:rsidP="00043B5E">
            <w:pPr>
              <w:spacing w:after="0" w:line="240" w:lineRule="auto"/>
              <w:jc w:val="center"/>
              <w:rPr>
                <w:sz w:val="18"/>
                <w:szCs w:val="18"/>
              </w:rPr>
            </w:pPr>
            <w:r w:rsidRPr="00E56F30">
              <w:rPr>
                <w:b/>
                <w:bCs/>
                <w:sz w:val="18"/>
                <w:szCs w:val="18"/>
              </w:rPr>
              <w:t>Club</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88C4DC7" w14:textId="77777777" w:rsidR="006547D1" w:rsidRPr="00E56F30" w:rsidRDefault="006547D1" w:rsidP="00043B5E">
            <w:pPr>
              <w:spacing w:after="0" w:line="240" w:lineRule="auto"/>
              <w:jc w:val="center"/>
              <w:rPr>
                <w:sz w:val="18"/>
                <w:szCs w:val="18"/>
              </w:rPr>
            </w:pPr>
            <w:r w:rsidRPr="00E56F30">
              <w:rPr>
                <w:b/>
                <w:bCs/>
                <w:sz w:val="18"/>
                <w:szCs w:val="18"/>
              </w:rPr>
              <w:t>Special</w:t>
            </w:r>
            <w:r w:rsidRPr="00E56F30">
              <w:rPr>
                <w:sz w:val="18"/>
                <w:szCs w:val="18"/>
              </w:rPr>
              <w:br/>
            </w:r>
            <w:r w:rsidRPr="00E56F30">
              <w:rPr>
                <w:b/>
                <w:bCs/>
                <w:sz w:val="18"/>
                <w:szCs w:val="18"/>
              </w:rPr>
              <w:t>Wine</w:t>
            </w:r>
            <w:r w:rsidRPr="00E56F30">
              <w:rPr>
                <w:sz w:val="18"/>
                <w:szCs w:val="18"/>
              </w:rPr>
              <w:br/>
            </w:r>
            <w:r w:rsidRPr="00E56F30">
              <w:rPr>
                <w:b/>
                <w:bCs/>
                <w:sz w:val="18"/>
                <w:szCs w:val="18"/>
              </w:rPr>
              <w:t>Producer</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9909300" w14:textId="77777777" w:rsidR="006547D1" w:rsidRPr="00E56F30" w:rsidRDefault="006547D1" w:rsidP="00043B5E">
            <w:pPr>
              <w:spacing w:after="0" w:line="240" w:lineRule="auto"/>
              <w:jc w:val="center"/>
              <w:rPr>
                <w:sz w:val="18"/>
                <w:szCs w:val="18"/>
              </w:rPr>
            </w:pPr>
            <w:r w:rsidRPr="00E56F30">
              <w:rPr>
                <w:b/>
                <w:bCs/>
                <w:sz w:val="18"/>
                <w:szCs w:val="18"/>
              </w:rPr>
              <w:t>On</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A643A53" w14:textId="77777777" w:rsidR="006547D1" w:rsidRPr="00E56F30" w:rsidRDefault="006547D1" w:rsidP="00043B5E">
            <w:pPr>
              <w:spacing w:after="0" w:line="240" w:lineRule="auto"/>
              <w:jc w:val="center"/>
              <w:rPr>
                <w:sz w:val="18"/>
                <w:szCs w:val="18"/>
              </w:rPr>
            </w:pPr>
            <w:r w:rsidRPr="00E56F30">
              <w:rPr>
                <w:b/>
                <w:bCs/>
                <w:sz w:val="18"/>
                <w:szCs w:val="18"/>
              </w:rPr>
              <w:t>Total</w:t>
            </w:r>
          </w:p>
        </w:tc>
      </w:tr>
      <w:tr w:rsidR="006547D1" w:rsidRPr="007D7754" w14:paraId="416FE00F"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2BE53432" w14:textId="77777777" w:rsidR="006547D1" w:rsidRPr="007D7754" w:rsidRDefault="006547D1" w:rsidP="002D6AED">
            <w:pPr>
              <w:spacing w:after="0" w:line="240" w:lineRule="auto"/>
              <w:jc w:val="center"/>
              <w:rPr>
                <w:sz w:val="20"/>
                <w:szCs w:val="20"/>
              </w:rPr>
            </w:pPr>
            <w:r w:rsidRPr="007D7754">
              <w:rPr>
                <w:sz w:val="20"/>
                <w:szCs w:val="20"/>
              </w:rPr>
              <w:t>2019</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3103629" w14:textId="77777777" w:rsidR="006547D1" w:rsidRPr="007D7754" w:rsidRDefault="006547D1" w:rsidP="00043B5E">
            <w:pPr>
              <w:spacing w:after="0" w:line="240" w:lineRule="auto"/>
              <w:jc w:val="center"/>
              <w:rPr>
                <w:sz w:val="20"/>
                <w:szCs w:val="20"/>
              </w:rPr>
            </w:pPr>
            <w:r w:rsidRPr="007D7754">
              <w:rPr>
                <w:sz w:val="20"/>
                <w:szCs w:val="20"/>
              </w:rPr>
              <w:t>349</w:t>
            </w:r>
            <w:r w:rsidRPr="007D7754">
              <w:rPr>
                <w:rFonts w:ascii="Arial" w:hAnsi="Arial" w:cs="Arial"/>
                <w:sz w:val="20"/>
                <w:szCs w:val="20"/>
              </w:rPr>
              <w:t>​</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FFA8E1F" w14:textId="77777777" w:rsidR="006547D1" w:rsidRPr="007D7754" w:rsidRDefault="006547D1" w:rsidP="00043B5E">
            <w:pPr>
              <w:spacing w:after="0" w:line="240" w:lineRule="auto"/>
              <w:jc w:val="center"/>
              <w:rPr>
                <w:sz w:val="20"/>
                <w:szCs w:val="20"/>
              </w:rPr>
            </w:pPr>
            <w:r w:rsidRPr="007D7754">
              <w:rPr>
                <w:sz w:val="20"/>
                <w:szCs w:val="20"/>
              </w:rPr>
              <w:t>732</w:t>
            </w:r>
            <w:r w:rsidRPr="007D7754">
              <w:rPr>
                <w:rFonts w:ascii="Arial" w:hAnsi="Arial" w:cs="Arial"/>
                <w:sz w:val="20"/>
                <w:szCs w:val="20"/>
              </w:rPr>
              <w:t>​</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A2B232F" w14:textId="77777777" w:rsidR="006547D1" w:rsidRPr="007D7754" w:rsidRDefault="006547D1" w:rsidP="00043B5E">
            <w:pPr>
              <w:spacing w:after="0" w:line="240" w:lineRule="auto"/>
              <w:jc w:val="center"/>
              <w:rPr>
                <w:sz w:val="20"/>
                <w:szCs w:val="20"/>
              </w:rPr>
            </w:pPr>
            <w:r w:rsidRPr="007D7754">
              <w:rPr>
                <w:sz w:val="20"/>
                <w:szCs w:val="20"/>
              </w:rPr>
              <w:t>90</w:t>
            </w:r>
            <w:r w:rsidRPr="007D7754">
              <w:rPr>
                <w:rFonts w:ascii="Arial" w:hAnsi="Arial" w:cs="Arial"/>
                <w:sz w:val="20"/>
                <w:szCs w:val="20"/>
              </w:rPr>
              <w:t>​</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3F1BFE1" w14:textId="77777777" w:rsidR="006547D1" w:rsidRPr="007D7754" w:rsidRDefault="006547D1" w:rsidP="00043B5E">
            <w:pPr>
              <w:spacing w:after="0" w:line="240" w:lineRule="auto"/>
              <w:jc w:val="center"/>
              <w:rPr>
                <w:sz w:val="20"/>
                <w:szCs w:val="20"/>
              </w:rPr>
            </w:pPr>
            <w:r w:rsidRPr="007D7754">
              <w:rPr>
                <w:sz w:val="20"/>
                <w:szCs w:val="20"/>
              </w:rPr>
              <w:t>197</w:t>
            </w:r>
            <w:r w:rsidRPr="007D7754">
              <w:rPr>
                <w:rFonts w:ascii="Arial" w:hAnsi="Arial" w:cs="Arial"/>
                <w:sz w:val="20"/>
                <w:szCs w:val="20"/>
              </w:rPr>
              <w:t>​</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4C5AF3AE" w14:textId="77777777" w:rsidR="006547D1" w:rsidRPr="007D7754" w:rsidRDefault="006547D1" w:rsidP="00043B5E">
            <w:pPr>
              <w:spacing w:after="0" w:line="240" w:lineRule="auto"/>
              <w:jc w:val="center"/>
              <w:rPr>
                <w:sz w:val="20"/>
                <w:szCs w:val="20"/>
              </w:rPr>
            </w:pPr>
            <w:r w:rsidRPr="007D7754">
              <w:rPr>
                <w:sz w:val="20"/>
                <w:szCs w:val="20"/>
              </w:rPr>
              <w:t>159</w:t>
            </w:r>
            <w:r w:rsidRPr="007D7754">
              <w:rPr>
                <w:rFonts w:ascii="Arial" w:hAnsi="Arial" w:cs="Arial"/>
                <w:sz w:val="20"/>
                <w:szCs w:val="20"/>
              </w:rPr>
              <w:t>​</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84324FD" w14:textId="77777777" w:rsidR="006547D1" w:rsidRPr="007D7754" w:rsidRDefault="006547D1" w:rsidP="00043B5E">
            <w:pPr>
              <w:spacing w:after="0" w:line="240" w:lineRule="auto"/>
              <w:jc w:val="center"/>
              <w:rPr>
                <w:sz w:val="20"/>
                <w:szCs w:val="20"/>
              </w:rPr>
            </w:pPr>
            <w:r w:rsidRPr="007D7754">
              <w:rPr>
                <w:sz w:val="20"/>
                <w:szCs w:val="20"/>
              </w:rPr>
              <w:t>258</w:t>
            </w:r>
            <w:r w:rsidRPr="007D7754">
              <w:rPr>
                <w:rFonts w:ascii="Arial" w:hAnsi="Arial" w:cs="Arial"/>
                <w:sz w:val="20"/>
                <w:szCs w:val="20"/>
              </w:rPr>
              <w:t>​</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22EEE264" w14:textId="77777777" w:rsidR="006547D1" w:rsidRPr="007D7754" w:rsidRDefault="006547D1" w:rsidP="00043B5E">
            <w:pPr>
              <w:spacing w:after="0" w:line="240" w:lineRule="auto"/>
              <w:jc w:val="center"/>
              <w:rPr>
                <w:sz w:val="20"/>
                <w:szCs w:val="20"/>
              </w:rPr>
            </w:pPr>
            <w:r w:rsidRPr="007D7754">
              <w:rPr>
                <w:sz w:val="20"/>
                <w:szCs w:val="20"/>
              </w:rPr>
              <w:t>1785</w:t>
            </w:r>
            <w:r w:rsidRPr="007D7754">
              <w:rPr>
                <w:rFonts w:ascii="Arial" w:hAnsi="Arial" w:cs="Arial"/>
                <w:sz w:val="20"/>
                <w:szCs w:val="20"/>
              </w:rPr>
              <w:t>​</w:t>
            </w:r>
          </w:p>
        </w:tc>
      </w:tr>
      <w:tr w:rsidR="006547D1" w:rsidRPr="007D7754" w14:paraId="7609E7C4"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BF36F18" w14:textId="77777777" w:rsidR="006547D1" w:rsidRPr="007D7754" w:rsidRDefault="006547D1" w:rsidP="002D6AED">
            <w:pPr>
              <w:spacing w:after="0" w:line="240" w:lineRule="auto"/>
              <w:jc w:val="center"/>
              <w:rPr>
                <w:sz w:val="20"/>
                <w:szCs w:val="20"/>
              </w:rPr>
            </w:pPr>
            <w:r w:rsidRPr="007D7754">
              <w:rPr>
                <w:rFonts w:ascii="Arial" w:hAnsi="Arial" w:cs="Arial"/>
                <w:sz w:val="20"/>
                <w:szCs w:val="20"/>
              </w:rPr>
              <w:t>​​</w:t>
            </w:r>
            <w:r w:rsidRPr="007D7754">
              <w:rPr>
                <w:sz w:val="20"/>
                <w:szCs w:val="20"/>
              </w:rPr>
              <w:t>2018</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44F9EF25" w14:textId="77777777" w:rsidR="006547D1" w:rsidRPr="007D7754" w:rsidRDefault="006547D1" w:rsidP="00043B5E">
            <w:pPr>
              <w:spacing w:after="0" w:line="240" w:lineRule="auto"/>
              <w:jc w:val="center"/>
              <w:rPr>
                <w:sz w:val="20"/>
                <w:szCs w:val="20"/>
              </w:rPr>
            </w:pPr>
            <w:r w:rsidRPr="007D7754">
              <w:rPr>
                <w:sz w:val="20"/>
                <w:szCs w:val="20"/>
              </w:rPr>
              <w:t>342</w:t>
            </w:r>
            <w:r w:rsidRPr="007D7754">
              <w:rPr>
                <w:rFonts w:ascii="Arial" w:hAnsi="Arial" w:cs="Arial"/>
                <w:sz w:val="20"/>
                <w:szCs w:val="20"/>
              </w:rPr>
              <w:t>​</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435828FF" w14:textId="77777777" w:rsidR="006547D1" w:rsidRPr="007D7754" w:rsidRDefault="006547D1" w:rsidP="00043B5E">
            <w:pPr>
              <w:spacing w:after="0" w:line="240" w:lineRule="auto"/>
              <w:jc w:val="center"/>
              <w:rPr>
                <w:sz w:val="20"/>
                <w:szCs w:val="20"/>
              </w:rPr>
            </w:pPr>
            <w:r w:rsidRPr="007D7754">
              <w:rPr>
                <w:sz w:val="20"/>
                <w:szCs w:val="20"/>
              </w:rPr>
              <w:t>692</w:t>
            </w:r>
            <w:r w:rsidRPr="007D7754">
              <w:rPr>
                <w:rFonts w:ascii="Arial" w:hAnsi="Arial" w:cs="Arial"/>
                <w:sz w:val="20"/>
                <w:szCs w:val="20"/>
              </w:rPr>
              <w:t>​</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28298E36" w14:textId="77777777" w:rsidR="006547D1" w:rsidRPr="007D7754" w:rsidRDefault="006547D1" w:rsidP="00043B5E">
            <w:pPr>
              <w:spacing w:after="0" w:line="240" w:lineRule="auto"/>
              <w:jc w:val="center"/>
              <w:rPr>
                <w:sz w:val="20"/>
                <w:szCs w:val="20"/>
              </w:rPr>
            </w:pPr>
            <w:r w:rsidRPr="007D7754">
              <w:rPr>
                <w:sz w:val="20"/>
                <w:szCs w:val="20"/>
              </w:rPr>
              <w:t>88</w:t>
            </w:r>
            <w:r w:rsidRPr="007D7754">
              <w:rPr>
                <w:rFonts w:ascii="Arial" w:hAnsi="Arial" w:cs="Arial"/>
                <w:sz w:val="20"/>
                <w:szCs w:val="20"/>
              </w:rPr>
              <w:t>​</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D4183B5" w14:textId="77777777" w:rsidR="006547D1" w:rsidRPr="007D7754" w:rsidRDefault="006547D1" w:rsidP="00043B5E">
            <w:pPr>
              <w:spacing w:after="0" w:line="240" w:lineRule="auto"/>
              <w:jc w:val="center"/>
              <w:rPr>
                <w:sz w:val="20"/>
                <w:szCs w:val="20"/>
              </w:rPr>
            </w:pPr>
            <w:r w:rsidRPr="007D7754">
              <w:rPr>
                <w:sz w:val="20"/>
                <w:szCs w:val="20"/>
              </w:rPr>
              <w:t>198</w:t>
            </w:r>
            <w:r w:rsidRPr="007D7754">
              <w:rPr>
                <w:rFonts w:ascii="Arial" w:hAnsi="Arial" w:cs="Arial"/>
                <w:sz w:val="20"/>
                <w:szCs w:val="20"/>
              </w:rPr>
              <w:t>​</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566ABA5" w14:textId="77777777" w:rsidR="006547D1" w:rsidRPr="007D7754" w:rsidRDefault="006547D1" w:rsidP="00043B5E">
            <w:pPr>
              <w:spacing w:after="0" w:line="240" w:lineRule="auto"/>
              <w:jc w:val="center"/>
              <w:rPr>
                <w:sz w:val="20"/>
                <w:szCs w:val="20"/>
              </w:rPr>
            </w:pPr>
            <w:r w:rsidRPr="007D7754">
              <w:rPr>
                <w:sz w:val="20"/>
                <w:szCs w:val="20"/>
              </w:rPr>
              <w:t>158</w:t>
            </w:r>
            <w:r w:rsidRPr="007D7754">
              <w:rPr>
                <w:rFonts w:ascii="Arial" w:hAnsi="Arial" w:cs="Arial"/>
                <w:sz w:val="20"/>
                <w:szCs w:val="20"/>
              </w:rPr>
              <w:t>​</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ED39A34" w14:textId="77777777" w:rsidR="006547D1" w:rsidRPr="007D7754" w:rsidRDefault="006547D1" w:rsidP="00043B5E">
            <w:pPr>
              <w:spacing w:after="0" w:line="240" w:lineRule="auto"/>
              <w:jc w:val="center"/>
              <w:rPr>
                <w:sz w:val="20"/>
                <w:szCs w:val="20"/>
              </w:rPr>
            </w:pPr>
            <w:r w:rsidRPr="007D7754">
              <w:rPr>
                <w:sz w:val="20"/>
                <w:szCs w:val="20"/>
              </w:rPr>
              <w:t>245</w:t>
            </w:r>
            <w:r w:rsidRPr="007D7754">
              <w:rPr>
                <w:rFonts w:ascii="Arial" w:hAnsi="Arial" w:cs="Arial"/>
                <w:sz w:val="20"/>
                <w:szCs w:val="20"/>
              </w:rPr>
              <w:t>​</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6CF9EBF" w14:textId="77777777" w:rsidR="006547D1" w:rsidRPr="007D7754" w:rsidRDefault="006547D1" w:rsidP="00043B5E">
            <w:pPr>
              <w:spacing w:after="0" w:line="240" w:lineRule="auto"/>
              <w:jc w:val="center"/>
              <w:rPr>
                <w:sz w:val="20"/>
                <w:szCs w:val="20"/>
              </w:rPr>
            </w:pPr>
            <w:r w:rsidRPr="007D7754">
              <w:rPr>
                <w:sz w:val="20"/>
                <w:szCs w:val="20"/>
              </w:rPr>
              <w:t>1723</w:t>
            </w:r>
            <w:r w:rsidRPr="007D7754">
              <w:rPr>
                <w:rFonts w:ascii="Arial" w:hAnsi="Arial" w:cs="Arial"/>
                <w:sz w:val="20"/>
                <w:szCs w:val="20"/>
              </w:rPr>
              <w:t>​</w:t>
            </w:r>
          </w:p>
        </w:tc>
      </w:tr>
      <w:tr w:rsidR="006547D1" w:rsidRPr="007D7754" w14:paraId="0D6E9280"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50D36FF" w14:textId="77777777" w:rsidR="006547D1" w:rsidRPr="007D7754" w:rsidRDefault="006547D1" w:rsidP="002D749E">
            <w:pPr>
              <w:spacing w:after="0" w:line="240" w:lineRule="auto"/>
              <w:jc w:val="center"/>
              <w:rPr>
                <w:sz w:val="20"/>
                <w:szCs w:val="20"/>
              </w:rPr>
            </w:pPr>
            <w:r w:rsidRPr="007D7754">
              <w:rPr>
                <w:sz w:val="20"/>
                <w:szCs w:val="20"/>
              </w:rPr>
              <w:t>2017</w:t>
            </w:r>
            <w:r w:rsidRPr="007D7754">
              <w:rPr>
                <w:rFonts w:ascii="Arial" w:hAnsi="Arial" w:cs="Arial"/>
                <w:sz w:val="20"/>
                <w:szCs w:val="20"/>
              </w:rPr>
              <w:t>​</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703CAF4" w14:textId="77777777" w:rsidR="006547D1" w:rsidRPr="007D7754" w:rsidRDefault="006547D1" w:rsidP="002D749E">
            <w:pPr>
              <w:spacing w:after="0" w:line="240" w:lineRule="auto"/>
              <w:jc w:val="center"/>
              <w:rPr>
                <w:sz w:val="20"/>
                <w:szCs w:val="20"/>
              </w:rPr>
            </w:pPr>
            <w:r w:rsidRPr="007D7754">
              <w:rPr>
                <w:rFonts w:ascii="Arial" w:hAnsi="Arial" w:cs="Arial"/>
                <w:sz w:val="20"/>
                <w:szCs w:val="20"/>
              </w:rPr>
              <w:t>​</w:t>
            </w:r>
            <w:r w:rsidRPr="007D7754">
              <w:rPr>
                <w:sz w:val="20"/>
                <w:szCs w:val="20"/>
              </w:rPr>
              <w:t>341</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78D9EED" w14:textId="77777777" w:rsidR="006547D1" w:rsidRPr="007D7754" w:rsidRDefault="006547D1" w:rsidP="002D749E">
            <w:pPr>
              <w:spacing w:after="0" w:line="240" w:lineRule="auto"/>
              <w:jc w:val="center"/>
              <w:rPr>
                <w:sz w:val="20"/>
                <w:szCs w:val="20"/>
              </w:rPr>
            </w:pPr>
            <w:r w:rsidRPr="007D7754">
              <w:rPr>
                <w:rFonts w:ascii="Arial" w:hAnsi="Arial" w:cs="Arial"/>
                <w:sz w:val="20"/>
                <w:szCs w:val="20"/>
              </w:rPr>
              <w:t>​</w:t>
            </w:r>
            <w:r w:rsidRPr="007D7754">
              <w:rPr>
                <w:sz w:val="20"/>
                <w:szCs w:val="20"/>
              </w:rPr>
              <w:t>653</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F16AAFC" w14:textId="77777777" w:rsidR="006547D1" w:rsidRPr="007D7754" w:rsidRDefault="006547D1" w:rsidP="002D749E">
            <w:pPr>
              <w:spacing w:after="0" w:line="240" w:lineRule="auto"/>
              <w:jc w:val="center"/>
              <w:rPr>
                <w:sz w:val="20"/>
                <w:szCs w:val="20"/>
              </w:rPr>
            </w:pPr>
            <w:r w:rsidRPr="007D7754">
              <w:rPr>
                <w:rFonts w:ascii="Arial" w:hAnsi="Arial" w:cs="Arial"/>
                <w:sz w:val="20"/>
                <w:szCs w:val="20"/>
              </w:rPr>
              <w:t>​</w:t>
            </w:r>
            <w:r w:rsidRPr="007D7754">
              <w:rPr>
                <w:sz w:val="20"/>
                <w:szCs w:val="20"/>
              </w:rPr>
              <w:t>87</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3AA6AEE" w14:textId="77777777" w:rsidR="006547D1" w:rsidRPr="007D7754" w:rsidRDefault="006547D1" w:rsidP="002D749E">
            <w:pPr>
              <w:spacing w:after="0" w:line="240" w:lineRule="auto"/>
              <w:jc w:val="center"/>
              <w:rPr>
                <w:sz w:val="20"/>
                <w:szCs w:val="20"/>
              </w:rPr>
            </w:pPr>
            <w:r w:rsidRPr="007D7754">
              <w:rPr>
                <w:rFonts w:ascii="Arial" w:hAnsi="Arial" w:cs="Arial"/>
                <w:sz w:val="20"/>
                <w:szCs w:val="20"/>
              </w:rPr>
              <w:t>​</w:t>
            </w:r>
            <w:r w:rsidRPr="007D7754">
              <w:rPr>
                <w:sz w:val="20"/>
                <w:szCs w:val="20"/>
              </w:rPr>
              <w:t>197</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BD4D6B9" w14:textId="77777777" w:rsidR="006547D1" w:rsidRPr="007D7754" w:rsidRDefault="006547D1" w:rsidP="002D749E">
            <w:pPr>
              <w:spacing w:after="0" w:line="240" w:lineRule="auto"/>
              <w:jc w:val="center"/>
              <w:rPr>
                <w:sz w:val="20"/>
                <w:szCs w:val="20"/>
              </w:rPr>
            </w:pPr>
            <w:r w:rsidRPr="007D7754">
              <w:rPr>
                <w:rFonts w:ascii="Arial" w:hAnsi="Arial" w:cs="Arial"/>
                <w:sz w:val="20"/>
                <w:szCs w:val="20"/>
              </w:rPr>
              <w:t>​</w:t>
            </w:r>
            <w:r w:rsidRPr="007D7754">
              <w:rPr>
                <w:sz w:val="20"/>
                <w:szCs w:val="20"/>
              </w:rPr>
              <w:t>163</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F3E3BC4" w14:textId="77777777" w:rsidR="006547D1" w:rsidRPr="007D7754" w:rsidRDefault="006547D1" w:rsidP="002D749E">
            <w:pPr>
              <w:spacing w:after="0" w:line="240" w:lineRule="auto"/>
              <w:jc w:val="center"/>
              <w:rPr>
                <w:sz w:val="20"/>
                <w:szCs w:val="20"/>
              </w:rPr>
            </w:pPr>
            <w:r w:rsidRPr="007D7754">
              <w:rPr>
                <w:rFonts w:ascii="Arial" w:hAnsi="Arial" w:cs="Arial"/>
                <w:sz w:val="20"/>
                <w:szCs w:val="20"/>
              </w:rPr>
              <w:t>​</w:t>
            </w:r>
            <w:r w:rsidRPr="007D7754">
              <w:rPr>
                <w:sz w:val="20"/>
                <w:szCs w:val="20"/>
              </w:rPr>
              <w:t>224</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4187AFC3" w14:textId="77777777" w:rsidR="006547D1" w:rsidRPr="007D7754" w:rsidRDefault="006547D1" w:rsidP="002D749E">
            <w:pPr>
              <w:spacing w:after="0" w:line="240" w:lineRule="auto"/>
              <w:jc w:val="center"/>
              <w:rPr>
                <w:sz w:val="20"/>
                <w:szCs w:val="20"/>
              </w:rPr>
            </w:pPr>
            <w:r w:rsidRPr="007D7754">
              <w:rPr>
                <w:rFonts w:ascii="Arial" w:hAnsi="Arial" w:cs="Arial"/>
                <w:sz w:val="20"/>
                <w:szCs w:val="20"/>
              </w:rPr>
              <w:t>​</w:t>
            </w:r>
            <w:r w:rsidRPr="007D7754">
              <w:rPr>
                <w:sz w:val="20"/>
                <w:szCs w:val="20"/>
              </w:rPr>
              <w:t>1665</w:t>
            </w:r>
          </w:p>
        </w:tc>
      </w:tr>
      <w:tr w:rsidR="006547D1" w:rsidRPr="007D7754" w14:paraId="15DFBC16"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5F6F6FD" w14:textId="77777777" w:rsidR="006547D1" w:rsidRPr="007D7754" w:rsidRDefault="006547D1" w:rsidP="002D6AED">
            <w:pPr>
              <w:spacing w:after="0" w:line="240" w:lineRule="auto"/>
              <w:jc w:val="center"/>
              <w:rPr>
                <w:sz w:val="20"/>
                <w:szCs w:val="20"/>
              </w:rPr>
            </w:pPr>
            <w:r w:rsidRPr="007D7754">
              <w:rPr>
                <w:sz w:val="20"/>
                <w:szCs w:val="20"/>
              </w:rPr>
              <w:t>2016</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4E6E347B" w14:textId="77777777" w:rsidR="006547D1" w:rsidRPr="007D7754" w:rsidRDefault="006547D1" w:rsidP="00043B5E">
            <w:pPr>
              <w:spacing w:after="0" w:line="240" w:lineRule="auto"/>
              <w:jc w:val="center"/>
              <w:rPr>
                <w:sz w:val="20"/>
                <w:szCs w:val="20"/>
              </w:rPr>
            </w:pPr>
            <w:r w:rsidRPr="007D7754">
              <w:rPr>
                <w:sz w:val="20"/>
                <w:szCs w:val="20"/>
              </w:rPr>
              <w:t>333</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4E03416" w14:textId="77777777" w:rsidR="006547D1" w:rsidRPr="007D7754" w:rsidRDefault="006547D1" w:rsidP="00043B5E">
            <w:pPr>
              <w:spacing w:after="0" w:line="240" w:lineRule="auto"/>
              <w:jc w:val="center"/>
              <w:rPr>
                <w:sz w:val="20"/>
                <w:szCs w:val="20"/>
              </w:rPr>
            </w:pPr>
            <w:r w:rsidRPr="007D7754">
              <w:rPr>
                <w:sz w:val="20"/>
                <w:szCs w:val="20"/>
              </w:rPr>
              <w:t>628</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83B354A" w14:textId="77777777" w:rsidR="006547D1" w:rsidRPr="007D7754" w:rsidRDefault="006547D1" w:rsidP="00043B5E">
            <w:pPr>
              <w:spacing w:after="0" w:line="240" w:lineRule="auto"/>
              <w:jc w:val="center"/>
              <w:rPr>
                <w:sz w:val="20"/>
                <w:szCs w:val="20"/>
              </w:rPr>
            </w:pPr>
            <w:r w:rsidRPr="007D7754">
              <w:rPr>
                <w:sz w:val="20"/>
                <w:szCs w:val="20"/>
              </w:rPr>
              <w:t>83</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278371D" w14:textId="77777777" w:rsidR="006547D1" w:rsidRPr="007D7754" w:rsidRDefault="006547D1" w:rsidP="00043B5E">
            <w:pPr>
              <w:spacing w:after="0" w:line="240" w:lineRule="auto"/>
              <w:jc w:val="center"/>
              <w:rPr>
                <w:sz w:val="20"/>
                <w:szCs w:val="20"/>
              </w:rPr>
            </w:pPr>
            <w:r w:rsidRPr="007D7754">
              <w:rPr>
                <w:sz w:val="20"/>
                <w:szCs w:val="20"/>
              </w:rPr>
              <w:t>196</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8E74E92" w14:textId="77777777" w:rsidR="006547D1" w:rsidRPr="007D7754" w:rsidRDefault="006547D1" w:rsidP="00043B5E">
            <w:pPr>
              <w:spacing w:after="0" w:line="240" w:lineRule="auto"/>
              <w:jc w:val="center"/>
              <w:rPr>
                <w:sz w:val="20"/>
                <w:szCs w:val="20"/>
              </w:rPr>
            </w:pPr>
            <w:r w:rsidRPr="007D7754">
              <w:rPr>
                <w:sz w:val="20"/>
                <w:szCs w:val="20"/>
              </w:rPr>
              <w:t>161</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2CBDF468" w14:textId="77777777" w:rsidR="006547D1" w:rsidRPr="007D7754" w:rsidRDefault="006547D1" w:rsidP="00043B5E">
            <w:pPr>
              <w:spacing w:after="0" w:line="240" w:lineRule="auto"/>
              <w:jc w:val="center"/>
              <w:rPr>
                <w:sz w:val="20"/>
                <w:szCs w:val="20"/>
              </w:rPr>
            </w:pPr>
            <w:r w:rsidRPr="007D7754">
              <w:rPr>
                <w:sz w:val="20"/>
                <w:szCs w:val="20"/>
              </w:rPr>
              <w:t>202</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E560A8F" w14:textId="77777777" w:rsidR="006547D1" w:rsidRPr="007D7754" w:rsidRDefault="006547D1" w:rsidP="00043B5E">
            <w:pPr>
              <w:spacing w:after="0" w:line="240" w:lineRule="auto"/>
              <w:jc w:val="center"/>
              <w:rPr>
                <w:sz w:val="20"/>
                <w:szCs w:val="20"/>
              </w:rPr>
            </w:pPr>
            <w:r w:rsidRPr="007D7754">
              <w:rPr>
                <w:sz w:val="20"/>
                <w:szCs w:val="20"/>
              </w:rPr>
              <w:t>1603</w:t>
            </w:r>
          </w:p>
        </w:tc>
      </w:tr>
      <w:tr w:rsidR="006547D1" w:rsidRPr="007D7754" w14:paraId="52218F7D"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433F4AF2" w14:textId="77777777" w:rsidR="006547D1" w:rsidRPr="007D7754" w:rsidRDefault="006547D1" w:rsidP="002D6AED">
            <w:pPr>
              <w:spacing w:after="0" w:line="240" w:lineRule="auto"/>
              <w:jc w:val="center"/>
              <w:rPr>
                <w:sz w:val="20"/>
                <w:szCs w:val="20"/>
              </w:rPr>
            </w:pPr>
            <w:r w:rsidRPr="007D7754">
              <w:rPr>
                <w:sz w:val="20"/>
                <w:szCs w:val="20"/>
              </w:rPr>
              <w:t>2015</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E2AED2B" w14:textId="77777777" w:rsidR="006547D1" w:rsidRPr="007D7754" w:rsidRDefault="006547D1" w:rsidP="00043B5E">
            <w:pPr>
              <w:spacing w:after="0" w:line="240" w:lineRule="auto"/>
              <w:jc w:val="center"/>
              <w:rPr>
                <w:sz w:val="20"/>
                <w:szCs w:val="20"/>
              </w:rPr>
            </w:pPr>
            <w:r w:rsidRPr="007D7754">
              <w:rPr>
                <w:sz w:val="20"/>
                <w:szCs w:val="20"/>
              </w:rPr>
              <w:t>332</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FD980DB" w14:textId="77777777" w:rsidR="006547D1" w:rsidRPr="007D7754" w:rsidRDefault="006547D1" w:rsidP="00043B5E">
            <w:pPr>
              <w:spacing w:after="0" w:line="240" w:lineRule="auto"/>
              <w:jc w:val="center"/>
              <w:rPr>
                <w:sz w:val="20"/>
                <w:szCs w:val="20"/>
              </w:rPr>
            </w:pPr>
            <w:r w:rsidRPr="007D7754">
              <w:rPr>
                <w:sz w:val="20"/>
                <w:szCs w:val="20"/>
              </w:rPr>
              <w:t>612</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63143AC" w14:textId="77777777" w:rsidR="006547D1" w:rsidRPr="007D7754" w:rsidRDefault="006547D1" w:rsidP="00043B5E">
            <w:pPr>
              <w:spacing w:after="0" w:line="240" w:lineRule="auto"/>
              <w:jc w:val="center"/>
              <w:rPr>
                <w:sz w:val="20"/>
                <w:szCs w:val="20"/>
              </w:rPr>
            </w:pPr>
            <w:r w:rsidRPr="007D7754">
              <w:rPr>
                <w:sz w:val="20"/>
                <w:szCs w:val="20"/>
              </w:rPr>
              <w:t>76</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AFE0FE7" w14:textId="77777777" w:rsidR="006547D1" w:rsidRPr="007D7754" w:rsidRDefault="006547D1" w:rsidP="00043B5E">
            <w:pPr>
              <w:spacing w:after="0" w:line="240" w:lineRule="auto"/>
              <w:jc w:val="center"/>
              <w:rPr>
                <w:sz w:val="20"/>
                <w:szCs w:val="20"/>
              </w:rPr>
            </w:pPr>
            <w:r w:rsidRPr="007D7754">
              <w:rPr>
                <w:sz w:val="20"/>
                <w:szCs w:val="20"/>
              </w:rPr>
              <w:t>199</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FB4D268" w14:textId="77777777" w:rsidR="006547D1" w:rsidRPr="007D7754" w:rsidRDefault="006547D1" w:rsidP="00043B5E">
            <w:pPr>
              <w:spacing w:after="0" w:line="240" w:lineRule="auto"/>
              <w:jc w:val="center"/>
              <w:rPr>
                <w:sz w:val="20"/>
                <w:szCs w:val="20"/>
              </w:rPr>
            </w:pPr>
            <w:r w:rsidRPr="007D7754">
              <w:rPr>
                <w:sz w:val="20"/>
                <w:szCs w:val="20"/>
              </w:rPr>
              <w:t>163</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6F8B02F" w14:textId="77777777" w:rsidR="006547D1" w:rsidRPr="007D7754" w:rsidRDefault="006547D1" w:rsidP="00043B5E">
            <w:pPr>
              <w:spacing w:after="0" w:line="240" w:lineRule="auto"/>
              <w:jc w:val="center"/>
              <w:rPr>
                <w:sz w:val="20"/>
                <w:szCs w:val="20"/>
              </w:rPr>
            </w:pPr>
            <w:r w:rsidRPr="007D7754">
              <w:rPr>
                <w:sz w:val="20"/>
                <w:szCs w:val="20"/>
              </w:rPr>
              <w:t>191</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D8BAABA" w14:textId="77777777" w:rsidR="006547D1" w:rsidRPr="007D7754" w:rsidRDefault="006547D1" w:rsidP="00043B5E">
            <w:pPr>
              <w:spacing w:after="0" w:line="240" w:lineRule="auto"/>
              <w:jc w:val="center"/>
              <w:rPr>
                <w:sz w:val="20"/>
                <w:szCs w:val="20"/>
              </w:rPr>
            </w:pPr>
            <w:r w:rsidRPr="007D7754">
              <w:rPr>
                <w:sz w:val="20"/>
                <w:szCs w:val="20"/>
              </w:rPr>
              <w:t>1573</w:t>
            </w:r>
          </w:p>
        </w:tc>
      </w:tr>
      <w:tr w:rsidR="006547D1" w:rsidRPr="007D7754" w14:paraId="6C2FBE82"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C8A9A28" w14:textId="77777777" w:rsidR="006547D1" w:rsidRPr="007D7754" w:rsidRDefault="006547D1" w:rsidP="002D6AED">
            <w:pPr>
              <w:spacing w:after="0" w:line="240" w:lineRule="auto"/>
              <w:jc w:val="center"/>
              <w:rPr>
                <w:sz w:val="20"/>
                <w:szCs w:val="20"/>
              </w:rPr>
            </w:pPr>
            <w:r w:rsidRPr="007D7754">
              <w:rPr>
                <w:sz w:val="20"/>
                <w:szCs w:val="20"/>
              </w:rPr>
              <w:t>2014</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C48D204" w14:textId="77777777" w:rsidR="006547D1" w:rsidRPr="007D7754" w:rsidRDefault="006547D1" w:rsidP="00043B5E">
            <w:pPr>
              <w:spacing w:after="0" w:line="240" w:lineRule="auto"/>
              <w:jc w:val="center"/>
              <w:rPr>
                <w:sz w:val="20"/>
                <w:szCs w:val="20"/>
              </w:rPr>
            </w:pPr>
            <w:r w:rsidRPr="007D7754">
              <w:rPr>
                <w:sz w:val="20"/>
                <w:szCs w:val="20"/>
              </w:rPr>
              <w:t>327</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0ADA312" w14:textId="77777777" w:rsidR="006547D1" w:rsidRPr="007D7754" w:rsidRDefault="006547D1" w:rsidP="00043B5E">
            <w:pPr>
              <w:spacing w:after="0" w:line="240" w:lineRule="auto"/>
              <w:jc w:val="center"/>
              <w:rPr>
                <w:sz w:val="20"/>
                <w:szCs w:val="20"/>
              </w:rPr>
            </w:pPr>
            <w:r w:rsidRPr="007D7754">
              <w:rPr>
                <w:sz w:val="20"/>
                <w:szCs w:val="20"/>
              </w:rPr>
              <w:t>577</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055A52F" w14:textId="77777777" w:rsidR="006547D1" w:rsidRPr="007D7754" w:rsidRDefault="006547D1" w:rsidP="00043B5E">
            <w:pPr>
              <w:spacing w:after="0" w:line="240" w:lineRule="auto"/>
              <w:jc w:val="center"/>
              <w:rPr>
                <w:sz w:val="20"/>
                <w:szCs w:val="20"/>
              </w:rPr>
            </w:pPr>
            <w:r w:rsidRPr="007D7754">
              <w:rPr>
                <w:sz w:val="20"/>
                <w:szCs w:val="20"/>
              </w:rPr>
              <w:t>67</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40AEC607" w14:textId="77777777" w:rsidR="006547D1" w:rsidRPr="007D7754" w:rsidRDefault="006547D1" w:rsidP="00043B5E">
            <w:pPr>
              <w:spacing w:after="0" w:line="240" w:lineRule="auto"/>
              <w:jc w:val="center"/>
              <w:rPr>
                <w:sz w:val="20"/>
                <w:szCs w:val="20"/>
              </w:rPr>
            </w:pPr>
            <w:r w:rsidRPr="007D7754">
              <w:rPr>
                <w:sz w:val="20"/>
                <w:szCs w:val="20"/>
              </w:rPr>
              <w:t>200</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BEFDF1A" w14:textId="77777777" w:rsidR="006547D1" w:rsidRPr="007D7754" w:rsidRDefault="006547D1" w:rsidP="00043B5E">
            <w:pPr>
              <w:spacing w:after="0" w:line="240" w:lineRule="auto"/>
              <w:jc w:val="center"/>
              <w:rPr>
                <w:sz w:val="20"/>
                <w:szCs w:val="20"/>
              </w:rPr>
            </w:pPr>
            <w:r w:rsidRPr="007D7754">
              <w:rPr>
                <w:sz w:val="20"/>
                <w:szCs w:val="20"/>
              </w:rPr>
              <w:t>156</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C4E92C9" w14:textId="77777777" w:rsidR="006547D1" w:rsidRPr="007D7754" w:rsidRDefault="006547D1" w:rsidP="00043B5E">
            <w:pPr>
              <w:spacing w:after="0" w:line="240" w:lineRule="auto"/>
              <w:jc w:val="center"/>
              <w:rPr>
                <w:sz w:val="20"/>
                <w:szCs w:val="20"/>
              </w:rPr>
            </w:pPr>
            <w:r w:rsidRPr="007D7754">
              <w:rPr>
                <w:sz w:val="20"/>
                <w:szCs w:val="20"/>
              </w:rPr>
              <w:t>167</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D61CE2F" w14:textId="77777777" w:rsidR="006547D1" w:rsidRPr="007D7754" w:rsidRDefault="006547D1" w:rsidP="00043B5E">
            <w:pPr>
              <w:spacing w:after="0" w:line="240" w:lineRule="auto"/>
              <w:jc w:val="center"/>
              <w:rPr>
                <w:sz w:val="20"/>
                <w:szCs w:val="20"/>
              </w:rPr>
            </w:pPr>
            <w:r w:rsidRPr="007D7754">
              <w:rPr>
                <w:sz w:val="20"/>
                <w:szCs w:val="20"/>
              </w:rPr>
              <w:t>1494</w:t>
            </w:r>
          </w:p>
        </w:tc>
      </w:tr>
      <w:tr w:rsidR="006547D1" w:rsidRPr="007D7754" w14:paraId="745FF9C0"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EAC6E78" w14:textId="77777777" w:rsidR="006547D1" w:rsidRPr="007D7754" w:rsidRDefault="006547D1" w:rsidP="002D6AED">
            <w:pPr>
              <w:spacing w:after="0" w:line="240" w:lineRule="auto"/>
              <w:jc w:val="center"/>
              <w:rPr>
                <w:sz w:val="20"/>
                <w:szCs w:val="20"/>
              </w:rPr>
            </w:pPr>
            <w:r w:rsidRPr="007D7754">
              <w:rPr>
                <w:sz w:val="20"/>
                <w:szCs w:val="20"/>
              </w:rPr>
              <w:t>2013</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816EB81" w14:textId="77777777" w:rsidR="006547D1" w:rsidRPr="007D7754" w:rsidRDefault="006547D1" w:rsidP="00043B5E">
            <w:pPr>
              <w:spacing w:after="0" w:line="240" w:lineRule="auto"/>
              <w:jc w:val="center"/>
              <w:rPr>
                <w:sz w:val="20"/>
                <w:szCs w:val="20"/>
              </w:rPr>
            </w:pPr>
            <w:r w:rsidRPr="007D7754">
              <w:rPr>
                <w:sz w:val="20"/>
                <w:szCs w:val="20"/>
              </w:rPr>
              <w:t>323</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2557BB8" w14:textId="77777777" w:rsidR="006547D1" w:rsidRPr="007D7754" w:rsidRDefault="006547D1" w:rsidP="00043B5E">
            <w:pPr>
              <w:spacing w:after="0" w:line="240" w:lineRule="auto"/>
              <w:jc w:val="center"/>
              <w:rPr>
                <w:sz w:val="20"/>
                <w:szCs w:val="20"/>
              </w:rPr>
            </w:pPr>
            <w:r w:rsidRPr="007D7754">
              <w:rPr>
                <w:sz w:val="20"/>
                <w:szCs w:val="20"/>
              </w:rPr>
              <w:t>569</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478231B" w14:textId="77777777" w:rsidR="006547D1" w:rsidRPr="007D7754" w:rsidRDefault="006547D1" w:rsidP="00043B5E">
            <w:pPr>
              <w:spacing w:after="0" w:line="240" w:lineRule="auto"/>
              <w:jc w:val="center"/>
              <w:rPr>
                <w:sz w:val="20"/>
                <w:szCs w:val="20"/>
              </w:rPr>
            </w:pPr>
            <w:r w:rsidRPr="007D7754">
              <w:rPr>
                <w:sz w:val="20"/>
                <w:szCs w:val="20"/>
              </w:rPr>
              <w:t>64</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FE76D72" w14:textId="77777777" w:rsidR="006547D1" w:rsidRPr="007D7754" w:rsidRDefault="006547D1" w:rsidP="00043B5E">
            <w:pPr>
              <w:spacing w:after="0" w:line="240" w:lineRule="auto"/>
              <w:jc w:val="center"/>
              <w:rPr>
                <w:sz w:val="20"/>
                <w:szCs w:val="20"/>
              </w:rPr>
            </w:pPr>
            <w:r w:rsidRPr="007D7754">
              <w:rPr>
                <w:sz w:val="20"/>
                <w:szCs w:val="20"/>
              </w:rPr>
              <w:t>198</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C5E6F74" w14:textId="77777777" w:rsidR="006547D1" w:rsidRPr="007D7754" w:rsidRDefault="006547D1" w:rsidP="00043B5E">
            <w:pPr>
              <w:spacing w:after="0" w:line="240" w:lineRule="auto"/>
              <w:jc w:val="center"/>
              <w:rPr>
                <w:sz w:val="20"/>
                <w:szCs w:val="20"/>
              </w:rPr>
            </w:pPr>
            <w:r w:rsidRPr="007D7754">
              <w:rPr>
                <w:sz w:val="20"/>
                <w:szCs w:val="20"/>
              </w:rPr>
              <w:t>165</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DE68218" w14:textId="77777777" w:rsidR="006547D1" w:rsidRPr="007D7754" w:rsidRDefault="006547D1" w:rsidP="00043B5E">
            <w:pPr>
              <w:spacing w:after="0" w:line="240" w:lineRule="auto"/>
              <w:jc w:val="center"/>
              <w:rPr>
                <w:sz w:val="20"/>
                <w:szCs w:val="20"/>
              </w:rPr>
            </w:pPr>
            <w:r w:rsidRPr="007D7754">
              <w:rPr>
                <w:sz w:val="20"/>
                <w:szCs w:val="20"/>
              </w:rPr>
              <w:t>162</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F199B19" w14:textId="77777777" w:rsidR="006547D1" w:rsidRPr="007D7754" w:rsidRDefault="006547D1" w:rsidP="00043B5E">
            <w:pPr>
              <w:spacing w:after="0" w:line="240" w:lineRule="auto"/>
              <w:jc w:val="center"/>
              <w:rPr>
                <w:sz w:val="20"/>
                <w:szCs w:val="20"/>
              </w:rPr>
            </w:pPr>
            <w:r w:rsidRPr="007D7754">
              <w:rPr>
                <w:sz w:val="20"/>
                <w:szCs w:val="20"/>
              </w:rPr>
              <w:t>1481</w:t>
            </w:r>
          </w:p>
        </w:tc>
      </w:tr>
      <w:tr w:rsidR="006547D1" w:rsidRPr="007D7754" w14:paraId="3D288BCD"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20FD3BA1" w14:textId="77777777" w:rsidR="006547D1" w:rsidRPr="007D7754" w:rsidRDefault="006547D1" w:rsidP="002D6AED">
            <w:pPr>
              <w:spacing w:after="0" w:line="240" w:lineRule="auto"/>
              <w:jc w:val="center"/>
              <w:rPr>
                <w:sz w:val="20"/>
                <w:szCs w:val="20"/>
              </w:rPr>
            </w:pPr>
            <w:r w:rsidRPr="007D7754">
              <w:rPr>
                <w:sz w:val="20"/>
                <w:szCs w:val="20"/>
              </w:rPr>
              <w:t>2012</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2DE55326" w14:textId="77777777" w:rsidR="006547D1" w:rsidRPr="007D7754" w:rsidRDefault="006547D1" w:rsidP="00043B5E">
            <w:pPr>
              <w:spacing w:after="0" w:line="240" w:lineRule="auto"/>
              <w:jc w:val="center"/>
              <w:rPr>
                <w:sz w:val="20"/>
                <w:szCs w:val="20"/>
              </w:rPr>
            </w:pPr>
            <w:r w:rsidRPr="007D7754">
              <w:rPr>
                <w:sz w:val="20"/>
                <w:szCs w:val="20"/>
              </w:rPr>
              <w:t>325</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1B3B378" w14:textId="77777777" w:rsidR="006547D1" w:rsidRPr="007D7754" w:rsidRDefault="006547D1" w:rsidP="00043B5E">
            <w:pPr>
              <w:spacing w:after="0" w:line="240" w:lineRule="auto"/>
              <w:jc w:val="center"/>
              <w:rPr>
                <w:sz w:val="20"/>
                <w:szCs w:val="20"/>
              </w:rPr>
            </w:pPr>
            <w:r w:rsidRPr="007D7754">
              <w:rPr>
                <w:sz w:val="20"/>
                <w:szCs w:val="20"/>
              </w:rPr>
              <w:t>575</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5F8D430" w14:textId="77777777" w:rsidR="006547D1" w:rsidRPr="007D7754" w:rsidRDefault="006547D1" w:rsidP="00043B5E">
            <w:pPr>
              <w:spacing w:after="0" w:line="240" w:lineRule="auto"/>
              <w:jc w:val="center"/>
              <w:rPr>
                <w:sz w:val="20"/>
                <w:szCs w:val="20"/>
              </w:rPr>
            </w:pPr>
            <w:r w:rsidRPr="007D7754">
              <w:rPr>
                <w:sz w:val="20"/>
                <w:szCs w:val="20"/>
              </w:rPr>
              <w:t>66</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5F12E38" w14:textId="77777777" w:rsidR="006547D1" w:rsidRPr="007D7754" w:rsidRDefault="006547D1" w:rsidP="00043B5E">
            <w:pPr>
              <w:spacing w:after="0" w:line="240" w:lineRule="auto"/>
              <w:jc w:val="center"/>
              <w:rPr>
                <w:sz w:val="20"/>
                <w:szCs w:val="20"/>
              </w:rPr>
            </w:pPr>
            <w:r w:rsidRPr="007D7754">
              <w:rPr>
                <w:sz w:val="20"/>
                <w:szCs w:val="20"/>
              </w:rPr>
              <w:t>203</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087130D" w14:textId="77777777" w:rsidR="006547D1" w:rsidRPr="007D7754" w:rsidRDefault="006547D1" w:rsidP="00043B5E">
            <w:pPr>
              <w:spacing w:after="0" w:line="240" w:lineRule="auto"/>
              <w:jc w:val="center"/>
              <w:rPr>
                <w:sz w:val="20"/>
                <w:szCs w:val="20"/>
              </w:rPr>
            </w:pPr>
            <w:r w:rsidRPr="007D7754">
              <w:rPr>
                <w:sz w:val="20"/>
                <w:szCs w:val="20"/>
              </w:rPr>
              <w:t>170</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8F2CB78" w14:textId="77777777" w:rsidR="006547D1" w:rsidRPr="007D7754" w:rsidRDefault="006547D1" w:rsidP="00043B5E">
            <w:pPr>
              <w:spacing w:after="0" w:line="240" w:lineRule="auto"/>
              <w:jc w:val="center"/>
              <w:rPr>
                <w:sz w:val="20"/>
                <w:szCs w:val="20"/>
              </w:rPr>
            </w:pPr>
            <w:r w:rsidRPr="007D7754">
              <w:rPr>
                <w:sz w:val="20"/>
                <w:szCs w:val="20"/>
              </w:rPr>
              <w:t>149</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57463E1" w14:textId="77777777" w:rsidR="006547D1" w:rsidRPr="007D7754" w:rsidRDefault="006547D1" w:rsidP="00043B5E">
            <w:pPr>
              <w:spacing w:after="0" w:line="240" w:lineRule="auto"/>
              <w:jc w:val="center"/>
              <w:rPr>
                <w:sz w:val="20"/>
                <w:szCs w:val="20"/>
              </w:rPr>
            </w:pPr>
            <w:r w:rsidRPr="007D7754">
              <w:rPr>
                <w:sz w:val="20"/>
                <w:szCs w:val="20"/>
              </w:rPr>
              <w:t>1488</w:t>
            </w:r>
          </w:p>
        </w:tc>
      </w:tr>
      <w:tr w:rsidR="006547D1" w:rsidRPr="007D7754" w14:paraId="63483D88"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78801E0" w14:textId="77777777" w:rsidR="006547D1" w:rsidRPr="007D7754" w:rsidRDefault="006547D1" w:rsidP="002D6AED">
            <w:pPr>
              <w:spacing w:after="0" w:line="240" w:lineRule="auto"/>
              <w:jc w:val="center"/>
              <w:rPr>
                <w:sz w:val="20"/>
                <w:szCs w:val="20"/>
              </w:rPr>
            </w:pPr>
            <w:r w:rsidRPr="007D7754">
              <w:rPr>
                <w:sz w:val="20"/>
                <w:szCs w:val="20"/>
              </w:rPr>
              <w:t>2011</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7BCD661" w14:textId="77777777" w:rsidR="006547D1" w:rsidRPr="007D7754" w:rsidRDefault="006547D1" w:rsidP="00043B5E">
            <w:pPr>
              <w:spacing w:after="0" w:line="240" w:lineRule="auto"/>
              <w:jc w:val="center"/>
              <w:rPr>
                <w:sz w:val="20"/>
                <w:szCs w:val="20"/>
              </w:rPr>
            </w:pPr>
            <w:r w:rsidRPr="007D7754">
              <w:rPr>
                <w:sz w:val="20"/>
                <w:szCs w:val="20"/>
              </w:rPr>
              <w:t>330</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4278FF36" w14:textId="77777777" w:rsidR="006547D1" w:rsidRPr="007D7754" w:rsidRDefault="006547D1" w:rsidP="00043B5E">
            <w:pPr>
              <w:spacing w:after="0" w:line="240" w:lineRule="auto"/>
              <w:jc w:val="center"/>
              <w:rPr>
                <w:sz w:val="20"/>
                <w:szCs w:val="20"/>
              </w:rPr>
            </w:pPr>
            <w:r w:rsidRPr="007D7754">
              <w:rPr>
                <w:sz w:val="20"/>
                <w:szCs w:val="20"/>
              </w:rPr>
              <w:t>570</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6E38865" w14:textId="77777777" w:rsidR="006547D1" w:rsidRPr="007D7754" w:rsidRDefault="006547D1" w:rsidP="00043B5E">
            <w:pPr>
              <w:spacing w:after="0" w:line="240" w:lineRule="auto"/>
              <w:jc w:val="center"/>
              <w:rPr>
                <w:sz w:val="20"/>
                <w:szCs w:val="20"/>
              </w:rPr>
            </w:pPr>
            <w:r w:rsidRPr="007D7754">
              <w:rPr>
                <w:sz w:val="20"/>
                <w:szCs w:val="20"/>
              </w:rPr>
              <w:t>55</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1F452FF" w14:textId="77777777" w:rsidR="006547D1" w:rsidRPr="007D7754" w:rsidRDefault="006547D1" w:rsidP="00043B5E">
            <w:pPr>
              <w:spacing w:after="0" w:line="240" w:lineRule="auto"/>
              <w:jc w:val="center"/>
              <w:rPr>
                <w:sz w:val="20"/>
                <w:szCs w:val="20"/>
              </w:rPr>
            </w:pPr>
            <w:r w:rsidRPr="007D7754">
              <w:rPr>
                <w:sz w:val="20"/>
                <w:szCs w:val="20"/>
              </w:rPr>
              <w:t>207</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2520E558" w14:textId="77777777" w:rsidR="006547D1" w:rsidRPr="007D7754" w:rsidRDefault="006547D1" w:rsidP="00043B5E">
            <w:pPr>
              <w:spacing w:after="0" w:line="240" w:lineRule="auto"/>
              <w:jc w:val="center"/>
              <w:rPr>
                <w:sz w:val="20"/>
                <w:szCs w:val="20"/>
              </w:rPr>
            </w:pPr>
            <w:r w:rsidRPr="007D7754">
              <w:rPr>
                <w:sz w:val="20"/>
                <w:szCs w:val="20"/>
              </w:rPr>
              <w:t>167</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A0B193D" w14:textId="77777777" w:rsidR="006547D1" w:rsidRPr="007D7754" w:rsidRDefault="006547D1" w:rsidP="00043B5E">
            <w:pPr>
              <w:spacing w:after="0" w:line="240" w:lineRule="auto"/>
              <w:jc w:val="center"/>
              <w:rPr>
                <w:sz w:val="20"/>
                <w:szCs w:val="20"/>
              </w:rPr>
            </w:pPr>
            <w:r w:rsidRPr="007D7754">
              <w:rPr>
                <w:sz w:val="20"/>
                <w:szCs w:val="20"/>
              </w:rPr>
              <w:t>140</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6D422D0" w14:textId="77777777" w:rsidR="006547D1" w:rsidRPr="007D7754" w:rsidRDefault="006547D1" w:rsidP="00043B5E">
            <w:pPr>
              <w:spacing w:after="0" w:line="240" w:lineRule="auto"/>
              <w:jc w:val="center"/>
              <w:rPr>
                <w:sz w:val="20"/>
                <w:szCs w:val="20"/>
              </w:rPr>
            </w:pPr>
            <w:r w:rsidRPr="007D7754">
              <w:rPr>
                <w:sz w:val="20"/>
                <w:szCs w:val="20"/>
              </w:rPr>
              <w:t>1469</w:t>
            </w:r>
          </w:p>
        </w:tc>
      </w:tr>
      <w:tr w:rsidR="006547D1" w:rsidRPr="007D7754" w14:paraId="6D55C265"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56D7E8B" w14:textId="77777777" w:rsidR="006547D1" w:rsidRPr="007D7754" w:rsidRDefault="006547D1" w:rsidP="002D6AED">
            <w:pPr>
              <w:spacing w:after="0" w:line="240" w:lineRule="auto"/>
              <w:jc w:val="center"/>
              <w:rPr>
                <w:sz w:val="20"/>
                <w:szCs w:val="20"/>
              </w:rPr>
            </w:pPr>
            <w:r w:rsidRPr="007D7754">
              <w:rPr>
                <w:sz w:val="20"/>
                <w:szCs w:val="20"/>
              </w:rPr>
              <w:t>2010</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49C892B" w14:textId="77777777" w:rsidR="006547D1" w:rsidRPr="007D7754" w:rsidRDefault="006547D1" w:rsidP="00043B5E">
            <w:pPr>
              <w:spacing w:after="0" w:line="240" w:lineRule="auto"/>
              <w:jc w:val="center"/>
              <w:rPr>
                <w:sz w:val="20"/>
                <w:szCs w:val="20"/>
              </w:rPr>
            </w:pPr>
            <w:r w:rsidRPr="007D7754">
              <w:rPr>
                <w:sz w:val="20"/>
                <w:szCs w:val="20"/>
              </w:rPr>
              <w:t>325</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446F4F5" w14:textId="77777777" w:rsidR="006547D1" w:rsidRPr="007D7754" w:rsidRDefault="006547D1" w:rsidP="00043B5E">
            <w:pPr>
              <w:spacing w:after="0" w:line="240" w:lineRule="auto"/>
              <w:jc w:val="center"/>
              <w:rPr>
                <w:sz w:val="20"/>
                <w:szCs w:val="20"/>
              </w:rPr>
            </w:pPr>
            <w:r w:rsidRPr="007D7754">
              <w:rPr>
                <w:sz w:val="20"/>
                <w:szCs w:val="20"/>
              </w:rPr>
              <w:t>565</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1306000" w14:textId="77777777" w:rsidR="006547D1" w:rsidRPr="007D7754" w:rsidRDefault="006547D1" w:rsidP="00043B5E">
            <w:pPr>
              <w:spacing w:after="0" w:line="240" w:lineRule="auto"/>
              <w:jc w:val="center"/>
              <w:rPr>
                <w:sz w:val="20"/>
                <w:szCs w:val="20"/>
              </w:rPr>
            </w:pPr>
            <w:r w:rsidRPr="007D7754">
              <w:rPr>
                <w:sz w:val="20"/>
                <w:szCs w:val="20"/>
              </w:rPr>
              <w:t>49</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7DFC9BA" w14:textId="77777777" w:rsidR="006547D1" w:rsidRPr="007D7754" w:rsidRDefault="006547D1" w:rsidP="00043B5E">
            <w:pPr>
              <w:spacing w:after="0" w:line="240" w:lineRule="auto"/>
              <w:jc w:val="center"/>
              <w:rPr>
                <w:sz w:val="20"/>
                <w:szCs w:val="20"/>
              </w:rPr>
            </w:pPr>
            <w:r w:rsidRPr="007D7754">
              <w:rPr>
                <w:sz w:val="20"/>
                <w:szCs w:val="20"/>
              </w:rPr>
              <w:t>205</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7F4AA35B" w14:textId="77777777" w:rsidR="006547D1" w:rsidRPr="007D7754" w:rsidRDefault="006547D1" w:rsidP="00043B5E">
            <w:pPr>
              <w:spacing w:after="0" w:line="240" w:lineRule="auto"/>
              <w:jc w:val="center"/>
              <w:rPr>
                <w:sz w:val="20"/>
                <w:szCs w:val="20"/>
              </w:rPr>
            </w:pPr>
            <w:r w:rsidRPr="007D7754">
              <w:rPr>
                <w:sz w:val="20"/>
                <w:szCs w:val="20"/>
              </w:rPr>
              <w:t>161</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D69E280" w14:textId="77777777" w:rsidR="006547D1" w:rsidRPr="007D7754" w:rsidRDefault="006547D1" w:rsidP="00043B5E">
            <w:pPr>
              <w:spacing w:after="0" w:line="240" w:lineRule="auto"/>
              <w:jc w:val="center"/>
              <w:rPr>
                <w:sz w:val="20"/>
                <w:szCs w:val="20"/>
              </w:rPr>
            </w:pPr>
            <w:r w:rsidRPr="007D7754">
              <w:rPr>
                <w:sz w:val="20"/>
                <w:szCs w:val="20"/>
              </w:rPr>
              <w:t>124</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12233FDD" w14:textId="77777777" w:rsidR="006547D1" w:rsidRPr="007D7754" w:rsidRDefault="006547D1" w:rsidP="00043B5E">
            <w:pPr>
              <w:spacing w:after="0" w:line="240" w:lineRule="auto"/>
              <w:jc w:val="center"/>
              <w:rPr>
                <w:sz w:val="20"/>
                <w:szCs w:val="20"/>
              </w:rPr>
            </w:pPr>
            <w:r w:rsidRPr="007D7754">
              <w:rPr>
                <w:sz w:val="20"/>
                <w:szCs w:val="20"/>
              </w:rPr>
              <w:t>1429</w:t>
            </w:r>
          </w:p>
        </w:tc>
      </w:tr>
      <w:tr w:rsidR="006547D1" w:rsidRPr="007D7754" w14:paraId="342FBE6B" w14:textId="77777777" w:rsidTr="00E56F30">
        <w:tc>
          <w:tcPr>
            <w:tcW w:w="892"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E0F96FA" w14:textId="77777777" w:rsidR="006547D1" w:rsidRPr="007D7754" w:rsidRDefault="006547D1" w:rsidP="002D6AED">
            <w:pPr>
              <w:spacing w:after="0" w:line="240" w:lineRule="auto"/>
              <w:jc w:val="center"/>
              <w:rPr>
                <w:sz w:val="20"/>
                <w:szCs w:val="20"/>
              </w:rPr>
            </w:pPr>
            <w:r w:rsidRPr="007D7754">
              <w:rPr>
                <w:sz w:val="20"/>
                <w:szCs w:val="20"/>
              </w:rPr>
              <w:t>2009</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071FB915" w14:textId="77777777" w:rsidR="006547D1" w:rsidRPr="007D7754" w:rsidRDefault="006547D1" w:rsidP="00043B5E">
            <w:pPr>
              <w:spacing w:after="0" w:line="240" w:lineRule="auto"/>
              <w:jc w:val="center"/>
              <w:rPr>
                <w:sz w:val="20"/>
                <w:szCs w:val="20"/>
              </w:rPr>
            </w:pPr>
            <w:r w:rsidRPr="007D7754">
              <w:rPr>
                <w:sz w:val="20"/>
                <w:szCs w:val="20"/>
              </w:rPr>
              <w:t>310</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670C204F" w14:textId="77777777" w:rsidR="006547D1" w:rsidRPr="007D7754" w:rsidRDefault="006547D1" w:rsidP="00043B5E">
            <w:pPr>
              <w:spacing w:after="0" w:line="240" w:lineRule="auto"/>
              <w:jc w:val="center"/>
              <w:rPr>
                <w:sz w:val="20"/>
                <w:szCs w:val="20"/>
              </w:rPr>
            </w:pPr>
            <w:r w:rsidRPr="007D7754">
              <w:rPr>
                <w:sz w:val="20"/>
                <w:szCs w:val="20"/>
              </w:rPr>
              <w:t>536</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740740E" w14:textId="77777777" w:rsidR="006547D1" w:rsidRPr="007D7754" w:rsidRDefault="006547D1" w:rsidP="00043B5E">
            <w:pPr>
              <w:spacing w:after="0" w:line="240" w:lineRule="auto"/>
              <w:jc w:val="center"/>
              <w:rPr>
                <w:sz w:val="20"/>
                <w:szCs w:val="20"/>
              </w:rPr>
            </w:pPr>
            <w:r w:rsidRPr="007D7754">
              <w:rPr>
                <w:sz w:val="20"/>
                <w:szCs w:val="20"/>
              </w:rPr>
              <w:t>46</w:t>
            </w:r>
          </w:p>
        </w:tc>
        <w:tc>
          <w:tcPr>
            <w:tcW w:w="511"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5EB11281" w14:textId="77777777" w:rsidR="006547D1" w:rsidRPr="007D7754" w:rsidRDefault="006547D1" w:rsidP="00043B5E">
            <w:pPr>
              <w:spacing w:after="0" w:line="240" w:lineRule="auto"/>
              <w:jc w:val="center"/>
              <w:rPr>
                <w:sz w:val="20"/>
                <w:szCs w:val="20"/>
              </w:rPr>
            </w:pPr>
            <w:r w:rsidRPr="007D7754">
              <w:rPr>
                <w:sz w:val="20"/>
                <w:szCs w:val="20"/>
              </w:rPr>
              <w:t>205</w:t>
            </w:r>
          </w:p>
        </w:tc>
        <w:tc>
          <w:tcPr>
            <w:tcW w:w="663"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4A1FBB66" w14:textId="77777777" w:rsidR="006547D1" w:rsidRPr="007D7754" w:rsidRDefault="006547D1" w:rsidP="00043B5E">
            <w:pPr>
              <w:spacing w:after="0" w:line="240" w:lineRule="auto"/>
              <w:jc w:val="center"/>
              <w:rPr>
                <w:sz w:val="20"/>
                <w:szCs w:val="20"/>
              </w:rPr>
            </w:pPr>
            <w:r w:rsidRPr="007D7754">
              <w:rPr>
                <w:sz w:val="20"/>
                <w:szCs w:val="20"/>
              </w:rPr>
              <w:t>160</w:t>
            </w:r>
          </w:p>
        </w:tc>
        <w:tc>
          <w:tcPr>
            <w:tcW w:w="587"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3E651E68" w14:textId="77777777" w:rsidR="006547D1" w:rsidRPr="007D7754" w:rsidRDefault="006547D1" w:rsidP="00043B5E">
            <w:pPr>
              <w:spacing w:after="0" w:line="240" w:lineRule="auto"/>
              <w:jc w:val="center"/>
              <w:rPr>
                <w:sz w:val="20"/>
                <w:szCs w:val="20"/>
              </w:rPr>
            </w:pPr>
            <w:r w:rsidRPr="007D7754">
              <w:rPr>
                <w:sz w:val="20"/>
                <w:szCs w:val="20"/>
              </w:rPr>
              <w:t>121</w:t>
            </w:r>
          </w:p>
        </w:tc>
        <w:tc>
          <w:tcPr>
            <w:tcW w:w="586" w:type="pct"/>
            <w:tcBorders>
              <w:top w:val="outset" w:sz="6" w:space="0" w:color="auto"/>
              <w:left w:val="outset" w:sz="6" w:space="0" w:color="auto"/>
              <w:bottom w:val="outset" w:sz="6" w:space="0" w:color="auto"/>
              <w:right w:val="outset" w:sz="6" w:space="0" w:color="auto"/>
            </w:tcBorders>
            <w:tcMar>
              <w:top w:w="120" w:type="dxa"/>
              <w:left w:w="225" w:type="dxa"/>
              <w:bottom w:w="120" w:type="dxa"/>
              <w:right w:w="225" w:type="dxa"/>
            </w:tcMar>
            <w:hideMark/>
          </w:tcPr>
          <w:p w14:paraId="484C5A44" w14:textId="77777777" w:rsidR="006547D1" w:rsidRPr="007D7754" w:rsidRDefault="006547D1" w:rsidP="00043B5E">
            <w:pPr>
              <w:spacing w:after="0" w:line="240" w:lineRule="auto"/>
              <w:jc w:val="center"/>
              <w:rPr>
                <w:sz w:val="20"/>
                <w:szCs w:val="20"/>
              </w:rPr>
            </w:pPr>
            <w:r w:rsidRPr="007D7754">
              <w:rPr>
                <w:sz w:val="20"/>
                <w:szCs w:val="20"/>
              </w:rPr>
              <w:t>1378</w:t>
            </w:r>
          </w:p>
        </w:tc>
      </w:tr>
    </w:tbl>
    <w:p w14:paraId="26A8CEF0" w14:textId="77777777" w:rsidR="007D2E3F" w:rsidRPr="00583795" w:rsidRDefault="007D2E3F" w:rsidP="007D2E3F">
      <w:pPr>
        <w:spacing w:line="260" w:lineRule="atLeast"/>
      </w:pPr>
    </w:p>
    <w:p w14:paraId="77F16D19" w14:textId="77777777" w:rsidR="00910F9F" w:rsidRDefault="00A91D67" w:rsidP="003B3388">
      <w:pPr>
        <w:jc w:val="center"/>
      </w:pPr>
      <w:r>
        <w:rPr>
          <w:noProof/>
          <w:lang w:eastAsia="en-AU"/>
        </w:rPr>
        <w:lastRenderedPageBreak/>
        <w:drawing>
          <wp:inline distT="0" distB="0" distL="0" distR="0" wp14:anchorId="2EE39664" wp14:editId="4E3729B4">
            <wp:extent cx="4572000" cy="2743200"/>
            <wp:effectExtent l="0" t="0" r="0" b="0"/>
            <wp:docPr id="11" name="Chart 11" descr="Bar Graph: 'Number and type of liquor licences in Tasmania 2009-2019' Information contained in above table.">
              <a:extLst xmlns:a="http://schemas.openxmlformats.org/drawingml/2006/main">
                <a:ext uri="{FF2B5EF4-FFF2-40B4-BE49-F238E27FC236}">
                  <a16:creationId xmlns:a16="http://schemas.microsoft.com/office/drawing/2014/main" id="{7E74253D-9FAE-4241-8493-143DF4C08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DF36A6" w14:textId="77777777" w:rsidR="00E56F30" w:rsidRDefault="00E56F30" w:rsidP="003B3388">
      <w:pPr>
        <w:jc w:val="center"/>
      </w:pPr>
    </w:p>
    <w:p w14:paraId="18645706" w14:textId="77777777" w:rsidR="006D58E1" w:rsidRPr="002D749E" w:rsidRDefault="006D58E1" w:rsidP="006D58E1">
      <w:pPr>
        <w:pStyle w:val="Heading3"/>
        <w:rPr>
          <w:sz w:val="24"/>
          <w:szCs w:val="24"/>
        </w:rPr>
      </w:pPr>
      <w:r>
        <w:rPr>
          <w:sz w:val="24"/>
          <w:szCs w:val="24"/>
        </w:rPr>
        <w:t xml:space="preserve">Illicit Drug Reporting System </w:t>
      </w:r>
      <w:r w:rsidRPr="00D908F0">
        <w:rPr>
          <w:b w:val="0"/>
          <w:sz w:val="22"/>
          <w:szCs w:val="22"/>
        </w:rPr>
        <w:t>and</w:t>
      </w:r>
      <w:r w:rsidRPr="00D908F0">
        <w:rPr>
          <w:sz w:val="22"/>
          <w:szCs w:val="22"/>
        </w:rPr>
        <w:t xml:space="preserve"> </w:t>
      </w:r>
      <w:r>
        <w:rPr>
          <w:sz w:val="24"/>
          <w:szCs w:val="24"/>
        </w:rPr>
        <w:t>Ecstasy and related Drugs Reporting System</w:t>
      </w:r>
    </w:p>
    <w:p w14:paraId="19F7C9E0" w14:textId="77777777" w:rsidR="006D58E1" w:rsidRDefault="006D58E1" w:rsidP="006D58E1">
      <w:pPr>
        <w:pStyle w:val="BulletedListLevel1"/>
        <w:numPr>
          <w:ilvl w:val="0"/>
          <w:numId w:val="0"/>
        </w:numPr>
        <w:spacing w:line="260" w:lineRule="atLeast"/>
        <w:rPr>
          <w:lang w:eastAsia="en-AU"/>
        </w:rPr>
      </w:pPr>
      <w:r>
        <w:rPr>
          <w:lang w:eastAsia="en-AU"/>
        </w:rPr>
        <w:t>Each year the Illicit Drug Reporting System (IDRS) and Ecstasy and Related Drugs Reporting System (EDRS) collect and collate information from people who use drugs as well as key experts who can comment on drug markets; and indicator data including hospitalisations, treatment and mortality.</w:t>
      </w:r>
    </w:p>
    <w:p w14:paraId="520857C9" w14:textId="016AF6BA" w:rsidR="006D58E1" w:rsidRDefault="006D58E1" w:rsidP="006D58E1">
      <w:pPr>
        <w:pStyle w:val="BulletedListLevel1"/>
        <w:numPr>
          <w:ilvl w:val="0"/>
          <w:numId w:val="0"/>
        </w:numPr>
        <w:spacing w:line="260" w:lineRule="atLeast"/>
        <w:rPr>
          <w:lang w:eastAsia="en-AU"/>
        </w:rPr>
      </w:pPr>
      <w:r>
        <w:rPr>
          <w:lang w:eastAsia="en-AU"/>
        </w:rPr>
        <w:t xml:space="preserve">They </w:t>
      </w:r>
      <w:r w:rsidR="009F0F9D">
        <w:rPr>
          <w:rFonts w:cs="ArialMT"/>
          <w:color w:val="000000"/>
          <w:lang w:eastAsia="en-AU"/>
        </w:rPr>
        <w:t>are</w:t>
      </w:r>
      <w:r w:rsidR="009F0F9D" w:rsidRPr="00B04CE7">
        <w:rPr>
          <w:rFonts w:cs="ArialMT"/>
          <w:color w:val="000000"/>
          <w:lang w:eastAsia="en-AU"/>
        </w:rPr>
        <w:t xml:space="preserve"> coordinated nationally by the National Drug and Alcohol Research</w:t>
      </w:r>
      <w:r w:rsidR="009F0F9D">
        <w:rPr>
          <w:rFonts w:cs="ArialMT"/>
          <w:color w:val="000000"/>
          <w:lang w:eastAsia="en-AU"/>
        </w:rPr>
        <w:t xml:space="preserve"> </w:t>
      </w:r>
      <w:r w:rsidR="009F0F9D" w:rsidRPr="00B04CE7">
        <w:rPr>
          <w:rFonts w:cs="ArialMT"/>
          <w:color w:val="000000"/>
          <w:lang w:eastAsia="en-AU"/>
        </w:rPr>
        <w:t>Centre and funded by the Australian Government Department of Health</w:t>
      </w:r>
      <w:r w:rsidR="009F0F9D">
        <w:rPr>
          <w:rFonts w:cs="ArialMT"/>
          <w:color w:val="000000"/>
          <w:lang w:eastAsia="en-AU"/>
        </w:rPr>
        <w:t xml:space="preserve"> and</w:t>
      </w:r>
      <w:r w:rsidR="009F0F9D">
        <w:rPr>
          <w:lang w:eastAsia="en-AU"/>
        </w:rPr>
        <w:t xml:space="preserve"> </w:t>
      </w:r>
      <w:r>
        <w:rPr>
          <w:lang w:eastAsia="en-AU"/>
        </w:rPr>
        <w:t xml:space="preserve">have been conducted in Tasmania since 2000.  The School of Psychology at the University of Tasmania conducts the Tasmanian surveys. </w:t>
      </w:r>
    </w:p>
    <w:p w14:paraId="251CA9D1" w14:textId="77777777" w:rsidR="006D58E1" w:rsidRDefault="006D58E1" w:rsidP="006D58E1">
      <w:pPr>
        <w:pStyle w:val="BulletedListLevel1"/>
        <w:numPr>
          <w:ilvl w:val="0"/>
          <w:numId w:val="0"/>
        </w:numPr>
        <w:spacing w:line="260" w:lineRule="atLeast"/>
        <w:rPr>
          <w:lang w:eastAsia="en-AU"/>
        </w:rPr>
      </w:pPr>
      <w:r>
        <w:rPr>
          <w:lang w:eastAsia="en-AU"/>
        </w:rPr>
        <w:t xml:space="preserve">The IDRS and EDRS are surveys of specific cohorts of drug users, designed to provide early warnings of any trends. The results are of those cohorts and are NOT representative of drug use among the general population.  </w:t>
      </w:r>
    </w:p>
    <w:p w14:paraId="66294292" w14:textId="397D78D4" w:rsidR="006D58E1" w:rsidRDefault="006D58E1" w:rsidP="006D58E1">
      <w:pPr>
        <w:tabs>
          <w:tab w:val="clear" w:pos="567"/>
        </w:tabs>
        <w:autoSpaceDE w:val="0"/>
        <w:autoSpaceDN w:val="0"/>
        <w:adjustRightInd w:val="0"/>
        <w:spacing w:line="260" w:lineRule="atLeast"/>
      </w:pPr>
      <w:r w:rsidRPr="00A92905">
        <w:t xml:space="preserve">The </w:t>
      </w:r>
      <w:r w:rsidRPr="00A92905">
        <w:rPr>
          <w:b/>
        </w:rPr>
        <w:t>Illicit Drug Reporting System (IDRS)</w:t>
      </w:r>
      <w:r w:rsidRPr="00A92905">
        <w:t xml:space="preserve"> is a monitoring system identifying trends in illicit drug markets. The sentinel population is people who inject drugs (PWID). The IDRS is primarily concerned with four main drug classes: heroin, methamphetamine, cocaine and cannabis. It also monitors the use of pharmaceutical opioids and issues related to drug use, for example injection-related problems and overdose. The IDRS focuses on the recruitment of participants in Hobart, with an intended sample size of 100 participants each year.  The most recent survey for which data is available </w:t>
      </w:r>
      <w:r w:rsidR="008E339D">
        <w:t>was</w:t>
      </w:r>
      <w:r w:rsidRPr="00A92905">
        <w:t xml:space="preserve"> undertaken in 2018 (</w:t>
      </w:r>
      <w:r w:rsidRPr="00A92905">
        <w:rPr>
          <w:rFonts w:cs="ArialMT"/>
          <w:lang w:eastAsia="en-AU"/>
        </w:rPr>
        <w:t>Bruno, Bucher, Ney &amp; Sharman, C. 2019)</w:t>
      </w:r>
      <w:r w:rsidRPr="00A92905">
        <w:t xml:space="preserve">.  </w:t>
      </w:r>
    </w:p>
    <w:p w14:paraId="57EBCA4E" w14:textId="77777777" w:rsidR="006D58E1" w:rsidRDefault="006D58E1" w:rsidP="006D58E1">
      <w:pPr>
        <w:tabs>
          <w:tab w:val="clear" w:pos="567"/>
        </w:tabs>
        <w:autoSpaceDE w:val="0"/>
        <w:autoSpaceDN w:val="0"/>
        <w:adjustRightInd w:val="0"/>
        <w:spacing w:line="260" w:lineRule="atLeast"/>
        <w:rPr>
          <w:rFonts w:cs="ArialMT"/>
          <w:lang w:eastAsia="en-AU"/>
        </w:rPr>
      </w:pPr>
      <w:r w:rsidRPr="00A92905">
        <w:rPr>
          <w:rFonts w:cs="ArialMT"/>
          <w:lang w:eastAsia="en-AU"/>
        </w:rPr>
        <w:t>It is important to note that participants are deliberately selected to represent people</w:t>
      </w:r>
      <w:r>
        <w:rPr>
          <w:rFonts w:cs="ArialMT"/>
          <w:lang w:eastAsia="en-AU"/>
        </w:rPr>
        <w:t xml:space="preserve"> </w:t>
      </w:r>
      <w:r w:rsidRPr="00A92905">
        <w:rPr>
          <w:rFonts w:cs="ArialMT"/>
          <w:lang w:eastAsia="en-AU"/>
        </w:rPr>
        <w:t>that are heavily engaged in injecting drug use, because it is assumed that new trends</w:t>
      </w:r>
      <w:r>
        <w:rPr>
          <w:rFonts w:cs="ArialMT"/>
          <w:lang w:eastAsia="en-AU"/>
        </w:rPr>
        <w:t xml:space="preserve"> </w:t>
      </w:r>
      <w:r w:rsidRPr="00A92905">
        <w:rPr>
          <w:rFonts w:cs="ArialMT"/>
          <w:lang w:eastAsia="en-AU"/>
        </w:rPr>
        <w:t>will emerge in this group earlier than the general population. These participants do not</w:t>
      </w:r>
      <w:r>
        <w:rPr>
          <w:rFonts w:cs="ArialMT"/>
          <w:lang w:eastAsia="en-AU"/>
        </w:rPr>
        <w:t xml:space="preserve"> </w:t>
      </w:r>
      <w:r w:rsidRPr="00A92905">
        <w:rPr>
          <w:rFonts w:cs="ArialMT"/>
          <w:lang w:eastAsia="en-AU"/>
        </w:rPr>
        <w:t>represent the profile of all people who inject drugs</w:t>
      </w:r>
      <w:r>
        <w:rPr>
          <w:rFonts w:cs="ArialMT"/>
          <w:lang w:eastAsia="en-AU"/>
        </w:rPr>
        <w:t>, nor of the general population</w:t>
      </w:r>
      <w:r w:rsidRPr="00A92905">
        <w:rPr>
          <w:rFonts w:cs="ArialMT"/>
          <w:lang w:eastAsia="en-AU"/>
        </w:rPr>
        <w:t>.</w:t>
      </w:r>
      <w:r>
        <w:rPr>
          <w:rFonts w:cs="ArialMT"/>
          <w:lang w:eastAsia="en-AU"/>
        </w:rPr>
        <w:t xml:space="preserve"> </w:t>
      </w:r>
    </w:p>
    <w:p w14:paraId="0BBD086D" w14:textId="65BBCF32" w:rsidR="006D58E1" w:rsidRPr="00B04CE7" w:rsidRDefault="006D58E1" w:rsidP="006D58E1">
      <w:pPr>
        <w:tabs>
          <w:tab w:val="clear" w:pos="567"/>
        </w:tabs>
        <w:autoSpaceDE w:val="0"/>
        <w:autoSpaceDN w:val="0"/>
        <w:adjustRightInd w:val="0"/>
        <w:spacing w:line="260" w:lineRule="atLeast"/>
        <w:rPr>
          <w:rFonts w:cs="ArialMT"/>
          <w:color w:val="000000"/>
          <w:lang w:eastAsia="en-AU"/>
        </w:rPr>
      </w:pPr>
      <w:r w:rsidRPr="00B04CE7">
        <w:t xml:space="preserve">The </w:t>
      </w:r>
      <w:r w:rsidRPr="00317F93">
        <w:rPr>
          <w:b/>
        </w:rPr>
        <w:t>Ecstasy and related Drugs Reporting System (EDRS)</w:t>
      </w:r>
      <w:r w:rsidRPr="00B04CE7">
        <w:rPr>
          <w:rFonts w:cs="ArialMT"/>
          <w:color w:val="000000"/>
          <w:lang w:eastAsia="en-AU"/>
        </w:rPr>
        <w:t xml:space="preserve"> is an annual, national</w:t>
      </w:r>
      <w:r>
        <w:rPr>
          <w:rFonts w:cs="ArialMT"/>
          <w:color w:val="000000"/>
          <w:lang w:eastAsia="en-AU"/>
        </w:rPr>
        <w:t xml:space="preserve"> </w:t>
      </w:r>
      <w:r w:rsidRPr="00B04CE7">
        <w:rPr>
          <w:rFonts w:cs="ArialMT"/>
          <w:color w:val="000000"/>
          <w:lang w:eastAsia="en-AU"/>
        </w:rPr>
        <w:t>project designed to monitor data associated with the use of ecstasy and related</w:t>
      </w:r>
      <w:r>
        <w:rPr>
          <w:rFonts w:cs="ArialMT"/>
          <w:color w:val="000000"/>
          <w:lang w:eastAsia="en-AU"/>
        </w:rPr>
        <w:t xml:space="preserve"> </w:t>
      </w:r>
      <w:r w:rsidRPr="00B04CE7">
        <w:rPr>
          <w:rFonts w:cs="ArialMT"/>
          <w:color w:val="000000"/>
          <w:lang w:eastAsia="en-AU"/>
        </w:rPr>
        <w:t>drugs (methamphetamine, cocaine, LSD, ketamine and New Psychoactive</w:t>
      </w:r>
      <w:r>
        <w:rPr>
          <w:rFonts w:cs="ArialMT"/>
          <w:color w:val="000000"/>
          <w:lang w:eastAsia="en-AU"/>
        </w:rPr>
        <w:t xml:space="preserve"> </w:t>
      </w:r>
      <w:r w:rsidRPr="00B04CE7">
        <w:rPr>
          <w:rFonts w:cs="ArialMT"/>
          <w:color w:val="000000"/>
          <w:lang w:eastAsia="en-AU"/>
        </w:rPr>
        <w:t>Substances), in order that this information could act as an early warning</w:t>
      </w:r>
      <w:r>
        <w:rPr>
          <w:rFonts w:cs="ArialMT"/>
          <w:color w:val="000000"/>
          <w:lang w:eastAsia="en-AU"/>
        </w:rPr>
        <w:t xml:space="preserve"> </w:t>
      </w:r>
      <w:r w:rsidRPr="00B04CE7">
        <w:rPr>
          <w:rFonts w:cs="ArialMT"/>
          <w:color w:val="000000"/>
          <w:lang w:eastAsia="en-AU"/>
        </w:rPr>
        <w:t xml:space="preserve">indicator of the availability and use of these drugs. </w:t>
      </w:r>
      <w:r w:rsidR="008E339D">
        <w:rPr>
          <w:rFonts w:cs="ArialMT"/>
          <w:color w:val="000000"/>
          <w:lang w:eastAsia="en-AU"/>
        </w:rPr>
        <w:t xml:space="preserve"> </w:t>
      </w:r>
    </w:p>
    <w:p w14:paraId="03CC25FD" w14:textId="37AD9EE7" w:rsidR="006D58E1" w:rsidRDefault="008E339D" w:rsidP="006D58E1">
      <w:pPr>
        <w:tabs>
          <w:tab w:val="clear" w:pos="567"/>
        </w:tabs>
        <w:autoSpaceDE w:val="0"/>
        <w:autoSpaceDN w:val="0"/>
        <w:adjustRightInd w:val="0"/>
        <w:spacing w:line="260" w:lineRule="atLeast"/>
        <w:rPr>
          <w:rFonts w:cs="ArialMT"/>
          <w:lang w:eastAsia="en-AU"/>
        </w:rPr>
      </w:pPr>
      <w:r w:rsidRPr="00A92905">
        <w:t xml:space="preserve">The </w:t>
      </w:r>
      <w:r>
        <w:t>E</w:t>
      </w:r>
      <w:r w:rsidRPr="00A92905">
        <w:t xml:space="preserve">DRS </w:t>
      </w:r>
      <w:r>
        <w:t>also f</w:t>
      </w:r>
      <w:r w:rsidRPr="00A92905">
        <w:t xml:space="preserve">ocuses on the recruitment of participants in Hobart, with an intended sample size of 100 participants each year.  The most recent survey for which data is available </w:t>
      </w:r>
      <w:r>
        <w:t>was</w:t>
      </w:r>
      <w:r w:rsidRPr="00A92905">
        <w:t xml:space="preserve"> undertaken i</w:t>
      </w:r>
      <w:r w:rsidR="00AE1A0E">
        <w:t>s</w:t>
      </w:r>
      <w:r w:rsidRPr="00A92905">
        <w:t xml:space="preserve"> 2018</w:t>
      </w:r>
      <w:r w:rsidRPr="00A92905">
        <w:rPr>
          <w:rFonts w:cs="ArialMT"/>
          <w:lang w:eastAsia="en-AU"/>
        </w:rPr>
        <w:t xml:space="preserve"> </w:t>
      </w:r>
      <w:r w:rsidRPr="008E339D">
        <w:rPr>
          <w:rFonts w:cs="ArialMT"/>
          <w:lang w:eastAsia="en-AU"/>
        </w:rPr>
        <w:t>(Bruno, Sharman, Ney &amp; Bucher, 2019)</w:t>
      </w:r>
      <w:r w:rsidRPr="008E339D">
        <w:t xml:space="preserve">.  </w:t>
      </w:r>
      <w:r w:rsidR="006D58E1" w:rsidRPr="008E339D">
        <w:rPr>
          <w:rFonts w:cs="ArialMT"/>
          <w:lang w:eastAsia="en-AU"/>
        </w:rPr>
        <w:t>Participants are deliberately selected to represent people that are h</w:t>
      </w:r>
      <w:r w:rsidR="006D58E1" w:rsidRPr="00B04CE7">
        <w:rPr>
          <w:rFonts w:cs="ArialMT"/>
          <w:lang w:eastAsia="en-AU"/>
        </w:rPr>
        <w:t>eavily engaged in ecstasy and related drug use, because it is</w:t>
      </w:r>
      <w:r w:rsidR="006D58E1">
        <w:rPr>
          <w:rFonts w:cs="ArialMT"/>
          <w:lang w:eastAsia="en-AU"/>
        </w:rPr>
        <w:t xml:space="preserve"> </w:t>
      </w:r>
      <w:r w:rsidR="006D58E1" w:rsidRPr="00B04CE7">
        <w:rPr>
          <w:rFonts w:cs="ArialMT"/>
          <w:lang w:eastAsia="en-AU"/>
        </w:rPr>
        <w:t>assumed that new trends will emerge in this group earlier than the general</w:t>
      </w:r>
      <w:r w:rsidR="006D58E1">
        <w:rPr>
          <w:rFonts w:cs="ArialMT"/>
          <w:lang w:eastAsia="en-AU"/>
        </w:rPr>
        <w:t xml:space="preserve"> </w:t>
      </w:r>
      <w:r w:rsidR="006D58E1" w:rsidRPr="00B04CE7">
        <w:rPr>
          <w:rFonts w:cs="ArialMT"/>
          <w:lang w:eastAsia="en-AU"/>
        </w:rPr>
        <w:t>population. These participants do not represent the profile of all people who use</w:t>
      </w:r>
      <w:r w:rsidR="006D58E1">
        <w:rPr>
          <w:rFonts w:cs="ArialMT"/>
          <w:lang w:eastAsia="en-AU"/>
        </w:rPr>
        <w:t xml:space="preserve"> </w:t>
      </w:r>
      <w:r w:rsidR="006D58E1" w:rsidRPr="00B04CE7">
        <w:rPr>
          <w:rFonts w:cs="ArialMT"/>
          <w:lang w:eastAsia="en-AU"/>
        </w:rPr>
        <w:t>ecstasy</w:t>
      </w:r>
      <w:r w:rsidR="006D58E1">
        <w:rPr>
          <w:rFonts w:cs="ArialMT"/>
          <w:lang w:eastAsia="en-AU"/>
        </w:rPr>
        <w:t>, nor of the general population</w:t>
      </w:r>
      <w:r w:rsidR="006D58E1" w:rsidRPr="00B04CE7">
        <w:rPr>
          <w:rFonts w:cs="ArialMT"/>
          <w:lang w:eastAsia="en-AU"/>
        </w:rPr>
        <w:t>.</w:t>
      </w:r>
      <w:r w:rsidR="006D58E1">
        <w:rPr>
          <w:rFonts w:cs="ArialMT"/>
          <w:lang w:eastAsia="en-AU"/>
        </w:rPr>
        <w:t xml:space="preserve">  </w:t>
      </w:r>
    </w:p>
    <w:p w14:paraId="49DA1D12" w14:textId="77777777" w:rsidR="006D58E1" w:rsidRPr="00A92905" w:rsidRDefault="006D58E1" w:rsidP="006D58E1">
      <w:pPr>
        <w:tabs>
          <w:tab w:val="clear" w:pos="567"/>
        </w:tabs>
        <w:autoSpaceDE w:val="0"/>
        <w:autoSpaceDN w:val="0"/>
        <w:adjustRightInd w:val="0"/>
        <w:spacing w:line="260" w:lineRule="atLeast"/>
      </w:pPr>
      <w:r w:rsidRPr="00A92905">
        <w:t>Key findings for Tasmania</w:t>
      </w:r>
      <w:r>
        <w:t xml:space="preserve"> from 2018</w:t>
      </w:r>
      <w:r w:rsidRPr="00A92905">
        <w:t>:</w:t>
      </w:r>
    </w:p>
    <w:p w14:paraId="4F9A244A" w14:textId="77777777" w:rsidR="006D58E1" w:rsidRPr="005E0573" w:rsidRDefault="006D58E1" w:rsidP="006D58E1">
      <w:pPr>
        <w:pStyle w:val="ListParagraph"/>
        <w:numPr>
          <w:ilvl w:val="0"/>
          <w:numId w:val="46"/>
        </w:numPr>
        <w:autoSpaceDE w:val="0"/>
        <w:autoSpaceDN w:val="0"/>
        <w:adjustRightInd w:val="0"/>
        <w:spacing w:before="0" w:after="140" w:line="260" w:lineRule="atLeast"/>
        <w:ind w:left="425" w:hanging="425"/>
        <w:contextualSpacing w:val="0"/>
        <w:jc w:val="left"/>
        <w:rPr>
          <w:rFonts w:ascii="Gill Sans MT" w:hAnsi="Gill Sans MT" w:cs="ArialMT"/>
          <w:sz w:val="22"/>
          <w:lang w:eastAsia="en-AU"/>
        </w:rPr>
      </w:pPr>
      <w:r w:rsidRPr="008A4F54">
        <w:rPr>
          <w:rFonts w:ascii="Gill Sans MT" w:hAnsi="Gill Sans MT" w:cs="ArialMT"/>
          <w:sz w:val="22"/>
          <w:lang w:eastAsia="en-AU"/>
        </w:rPr>
        <w:lastRenderedPageBreak/>
        <w:t xml:space="preserve">IDRS participants are typically in their late 30s-early 40s, predominantly male, and not currently employed. They have typically completed year 10 and six in ten have technical qualifications. Half have a prison history; and less than half are currently involved in drug treatment (typically opioid substitution treatment). These demographics have been </w:t>
      </w:r>
      <w:r w:rsidRPr="005E0573">
        <w:rPr>
          <w:rFonts w:ascii="Gill Sans MT" w:hAnsi="Gill Sans MT" w:cs="ArialMT"/>
          <w:sz w:val="22"/>
          <w:lang w:eastAsia="en-AU"/>
        </w:rPr>
        <w:t xml:space="preserve">largely consistent over IDRS survey waves, </w:t>
      </w:r>
      <w:proofErr w:type="gramStart"/>
      <w:r w:rsidRPr="005E0573">
        <w:rPr>
          <w:rFonts w:ascii="Gill Sans MT" w:hAnsi="Gill Sans MT" w:cs="ArialMT"/>
          <w:sz w:val="22"/>
          <w:lang w:eastAsia="en-AU"/>
        </w:rPr>
        <w:t>with the exception of</w:t>
      </w:r>
      <w:proofErr w:type="gramEnd"/>
      <w:r w:rsidRPr="005E0573">
        <w:rPr>
          <w:rFonts w:ascii="Gill Sans MT" w:hAnsi="Gill Sans MT" w:cs="ArialMT"/>
          <w:sz w:val="22"/>
          <w:lang w:eastAsia="en-AU"/>
        </w:rPr>
        <w:t xml:space="preserve"> increasing age.</w:t>
      </w:r>
    </w:p>
    <w:p w14:paraId="676F022C" w14:textId="615E23EE" w:rsidR="006D58E1" w:rsidRDefault="006D58E1" w:rsidP="006D58E1">
      <w:pPr>
        <w:pStyle w:val="ListParagraph"/>
        <w:numPr>
          <w:ilvl w:val="0"/>
          <w:numId w:val="46"/>
        </w:numPr>
        <w:autoSpaceDE w:val="0"/>
        <w:autoSpaceDN w:val="0"/>
        <w:adjustRightInd w:val="0"/>
        <w:spacing w:before="0" w:after="140" w:line="260" w:lineRule="atLeast"/>
        <w:ind w:left="425" w:hanging="425"/>
        <w:contextualSpacing w:val="0"/>
        <w:jc w:val="left"/>
        <w:rPr>
          <w:rFonts w:ascii="Gill Sans MT" w:hAnsi="Gill Sans MT" w:cs="ArialMT"/>
          <w:sz w:val="22"/>
          <w:lang w:eastAsia="en-AU"/>
        </w:rPr>
      </w:pPr>
      <w:r w:rsidRPr="005E0573">
        <w:rPr>
          <w:rFonts w:ascii="Gill Sans MT" w:hAnsi="Gill Sans MT" w:cs="ArialMT"/>
          <w:sz w:val="22"/>
          <w:lang w:eastAsia="en-AU"/>
        </w:rPr>
        <w:t xml:space="preserve">EDRS participants are typically in their </w:t>
      </w:r>
      <w:r w:rsidR="008E339D">
        <w:rPr>
          <w:rFonts w:ascii="Gill Sans MT" w:hAnsi="Gill Sans MT" w:cs="ArialMT"/>
          <w:sz w:val="22"/>
          <w:lang w:eastAsia="en-AU"/>
        </w:rPr>
        <w:t>20s</w:t>
      </w:r>
      <w:r w:rsidRPr="005E0573">
        <w:rPr>
          <w:rFonts w:ascii="Gill Sans MT" w:hAnsi="Gill Sans MT" w:cs="ArialMT"/>
          <w:sz w:val="22"/>
          <w:lang w:eastAsia="en-AU"/>
        </w:rPr>
        <w:t>, and predominantly male. They are typically employed (~60 per cent of 2018 sample) and the majority have completed at least year 11. Rates of involvement in drug treatment or prison history are low, and typically 5 per cent or less of the samples. These demographics have been largely consistent over EDRS survey waves.</w:t>
      </w:r>
    </w:p>
    <w:p w14:paraId="28B34347" w14:textId="77777777" w:rsidR="006D58E1" w:rsidRPr="005E0573" w:rsidRDefault="006D58E1" w:rsidP="006D58E1">
      <w:pPr>
        <w:pStyle w:val="ListParagraph"/>
        <w:numPr>
          <w:ilvl w:val="0"/>
          <w:numId w:val="46"/>
        </w:numPr>
        <w:autoSpaceDE w:val="0"/>
        <w:autoSpaceDN w:val="0"/>
        <w:adjustRightInd w:val="0"/>
        <w:spacing w:before="0" w:after="140" w:line="260" w:lineRule="atLeast"/>
        <w:ind w:left="425" w:hanging="425"/>
        <w:contextualSpacing w:val="0"/>
        <w:jc w:val="left"/>
        <w:rPr>
          <w:rFonts w:ascii="Gill Sans MT" w:hAnsi="Gill Sans MT" w:cs="ArialMT"/>
          <w:sz w:val="22"/>
          <w:lang w:eastAsia="en-AU"/>
        </w:rPr>
      </w:pPr>
      <w:r>
        <w:rPr>
          <w:rFonts w:ascii="Gill Sans MT" w:hAnsi="Gill Sans MT" w:cs="ArialMT"/>
          <w:sz w:val="22"/>
          <w:lang w:eastAsia="en-AU"/>
        </w:rPr>
        <w:t>Use and frequency of use of methamphetamine differs between the cohorts.</w:t>
      </w:r>
    </w:p>
    <w:p w14:paraId="0028C6D9" w14:textId="0DF02F3B" w:rsidR="006D58E1" w:rsidRDefault="00EC1F86" w:rsidP="006D58E1">
      <w:pPr>
        <w:tabs>
          <w:tab w:val="clear" w:pos="567"/>
        </w:tabs>
        <w:autoSpaceDE w:val="0"/>
        <w:autoSpaceDN w:val="0"/>
        <w:adjustRightInd w:val="0"/>
        <w:spacing w:line="260" w:lineRule="atLeast"/>
        <w:jc w:val="center"/>
      </w:pPr>
      <w:r>
        <w:rPr>
          <w:noProof/>
        </w:rPr>
        <w:t xml:space="preserve"> </w:t>
      </w:r>
      <w:r w:rsidR="006D58E1">
        <w:rPr>
          <w:noProof/>
        </w:rPr>
        <w:drawing>
          <wp:inline distT="0" distB="0" distL="0" distR="0" wp14:anchorId="5BF6666C" wp14:editId="7C91B524">
            <wp:extent cx="4381470" cy="3286359"/>
            <wp:effectExtent l="0" t="0" r="635" b="0"/>
            <wp:docPr id="12" name="Picture 12" descr="Line graph showing 6 month use of Methamphetamine (IDRS &amp; EDRS) and days used past 180.  Some information found in the below bullet point but more information can be found at: https://ndarc.med.unsw.edu.au/news/online-now-2019-illicit-drug-reporting-system-and-ecstasy-and-related-drugs-reporting-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E8FCA1.tmp"/>
                    <pic:cNvPicPr/>
                  </pic:nvPicPr>
                  <pic:blipFill rotWithShape="1">
                    <a:blip r:embed="rId46">
                      <a:extLst>
                        <a:ext uri="{28A0092B-C50C-407E-A947-70E740481C1C}">
                          <a14:useLocalDpi xmlns:a14="http://schemas.microsoft.com/office/drawing/2010/main" val="0"/>
                        </a:ext>
                      </a:extLst>
                    </a:blip>
                    <a:srcRect l="7524" t="23528" r="23119" b="9052"/>
                    <a:stretch/>
                  </pic:blipFill>
                  <pic:spPr bwMode="auto">
                    <a:xfrm>
                      <a:off x="0" y="0"/>
                      <a:ext cx="4381470" cy="3286359"/>
                    </a:xfrm>
                    <a:prstGeom prst="rect">
                      <a:avLst/>
                    </a:prstGeom>
                    <a:ln>
                      <a:noFill/>
                    </a:ln>
                    <a:extLst>
                      <a:ext uri="{53640926-AAD7-44D8-BBD7-CCE9431645EC}">
                        <a14:shadowObscured xmlns:a14="http://schemas.microsoft.com/office/drawing/2010/main"/>
                      </a:ext>
                    </a:extLst>
                  </pic:spPr>
                </pic:pic>
              </a:graphicData>
            </a:graphic>
          </wp:inline>
        </w:drawing>
      </w:r>
    </w:p>
    <w:p w14:paraId="37613452" w14:textId="77777777" w:rsidR="006D58E1" w:rsidRPr="00287F14" w:rsidRDefault="006D58E1" w:rsidP="006D58E1">
      <w:pPr>
        <w:pStyle w:val="ListParagraph"/>
        <w:numPr>
          <w:ilvl w:val="0"/>
          <w:numId w:val="78"/>
        </w:numPr>
        <w:autoSpaceDE w:val="0"/>
        <w:autoSpaceDN w:val="0"/>
        <w:adjustRightInd w:val="0"/>
        <w:spacing w:line="260" w:lineRule="atLeast"/>
        <w:ind w:left="426" w:hanging="426"/>
        <w:rPr>
          <w:rFonts w:ascii="Gill Sans MT" w:hAnsi="Gill Sans MT"/>
          <w:sz w:val="22"/>
        </w:rPr>
      </w:pPr>
      <w:r w:rsidRPr="00287F14">
        <w:rPr>
          <w:rFonts w:ascii="Gill Sans MT" w:hAnsi="Gill Sans MT" w:cs="ArialMT"/>
          <w:sz w:val="22"/>
          <w:lang w:eastAsia="en-AU"/>
        </w:rPr>
        <w:t>Crystal form methamphetamine was the form most commonly used</w:t>
      </w:r>
      <w:r>
        <w:rPr>
          <w:rFonts w:ascii="Gill Sans MT" w:hAnsi="Gill Sans MT" w:cs="ArialMT"/>
          <w:sz w:val="22"/>
          <w:lang w:eastAsia="en-AU"/>
        </w:rPr>
        <w:t xml:space="preserve"> among the IDRS sample</w:t>
      </w:r>
      <w:r w:rsidRPr="00287F14">
        <w:rPr>
          <w:rFonts w:ascii="Gill Sans MT" w:hAnsi="Gill Sans MT" w:cs="ArialMT"/>
          <w:sz w:val="22"/>
          <w:lang w:eastAsia="en-AU"/>
        </w:rPr>
        <w:t>. Use of powder form methamphetamine has steadily declined in the past 5 years and use of the base/paste form is now very uncommon.</w:t>
      </w:r>
      <w:r>
        <w:rPr>
          <w:rFonts w:ascii="Gill Sans MT" w:hAnsi="Gill Sans MT" w:cs="ArialMT"/>
          <w:sz w:val="22"/>
          <w:lang w:eastAsia="en-AU"/>
        </w:rPr>
        <w:t xml:space="preserve">   Methamphetamine was nominated as the drug of choice by only 7 per cent of the EDRS 2018 sample, and these figures have changed little over the past five years.</w:t>
      </w:r>
    </w:p>
    <w:p w14:paraId="2720FE31" w14:textId="77777777" w:rsidR="006D58E1" w:rsidRDefault="006D58E1" w:rsidP="006D58E1">
      <w:pPr>
        <w:tabs>
          <w:tab w:val="clear" w:pos="567"/>
        </w:tabs>
        <w:autoSpaceDE w:val="0"/>
        <w:autoSpaceDN w:val="0"/>
        <w:adjustRightInd w:val="0"/>
        <w:spacing w:line="260" w:lineRule="atLeast"/>
        <w:ind w:left="426" w:hanging="426"/>
        <w:jc w:val="center"/>
      </w:pPr>
      <w:r>
        <w:rPr>
          <w:noProof/>
        </w:rPr>
        <w:lastRenderedPageBreak/>
        <w:drawing>
          <wp:inline distT="0" distB="0" distL="0" distR="0" wp14:anchorId="7D84D0C0" wp14:editId="50A1AF84">
            <wp:extent cx="4514986" cy="3174521"/>
            <wp:effectExtent l="0" t="0" r="0" b="6985"/>
            <wp:docPr id="19" name="Picture 19" descr="Line graph titled: Methamphetamine: Forms used in past 6 months and median days used of past 180.  Information found in the below bullet point but more information can be found at: https://ndarc.med.unsw.edu.au/news/online-now-2019-illicit-drug-reporting-system-and-ecstasy-and-related-drugs-reporting-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E8A763.tmp"/>
                    <pic:cNvPicPr/>
                  </pic:nvPicPr>
                  <pic:blipFill rotWithShape="1">
                    <a:blip r:embed="rId47" cstate="print">
                      <a:extLst>
                        <a:ext uri="{28A0092B-C50C-407E-A947-70E740481C1C}">
                          <a14:useLocalDpi xmlns:a14="http://schemas.microsoft.com/office/drawing/2010/main" val="0"/>
                        </a:ext>
                      </a:extLst>
                    </a:blip>
                    <a:srcRect l="3108" t="23104" r="22451" b="9063"/>
                    <a:stretch/>
                  </pic:blipFill>
                  <pic:spPr bwMode="auto">
                    <a:xfrm>
                      <a:off x="0" y="0"/>
                      <a:ext cx="4530754" cy="3185608"/>
                    </a:xfrm>
                    <a:prstGeom prst="rect">
                      <a:avLst/>
                    </a:prstGeom>
                    <a:ln>
                      <a:noFill/>
                    </a:ln>
                    <a:extLst>
                      <a:ext uri="{53640926-AAD7-44D8-BBD7-CCE9431645EC}">
                        <a14:shadowObscured xmlns:a14="http://schemas.microsoft.com/office/drawing/2010/main"/>
                      </a:ext>
                    </a:extLst>
                  </pic:spPr>
                </pic:pic>
              </a:graphicData>
            </a:graphic>
          </wp:inline>
        </w:drawing>
      </w:r>
    </w:p>
    <w:p w14:paraId="37C45BD8" w14:textId="77777777" w:rsidR="006D58E1" w:rsidRPr="00A851A9" w:rsidRDefault="006D58E1" w:rsidP="006D58E1">
      <w:pPr>
        <w:pStyle w:val="ListParagraph"/>
        <w:numPr>
          <w:ilvl w:val="0"/>
          <w:numId w:val="46"/>
        </w:numPr>
        <w:tabs>
          <w:tab w:val="left" w:pos="426"/>
        </w:tabs>
        <w:autoSpaceDE w:val="0"/>
        <w:autoSpaceDN w:val="0"/>
        <w:adjustRightInd w:val="0"/>
        <w:spacing w:before="0" w:after="140" w:line="260" w:lineRule="atLeast"/>
        <w:ind w:left="426" w:hanging="426"/>
        <w:contextualSpacing w:val="0"/>
        <w:jc w:val="left"/>
        <w:rPr>
          <w:rFonts w:ascii="Gill Sans MT" w:hAnsi="Gill Sans MT"/>
          <w:sz w:val="22"/>
        </w:rPr>
      </w:pPr>
      <w:r w:rsidRPr="00A851A9">
        <w:rPr>
          <w:rFonts w:ascii="Gill Sans MT" w:hAnsi="Gill Sans MT"/>
          <w:sz w:val="22"/>
        </w:rPr>
        <w:t>Based on the Severity of Dependence Scale (SDS) 50 per cent of the IDRS sample and 28 per cent of the EDRS sample of 2018 methamphetamine users scored as ‘dependent’.  Of those 56 per cent of the IDRS and 60 per cent of the EDRS cohorts were NOT in treatment.  30 per cent of the IDRS cohort who are in treatment are also on Opioid Substitution Treatment (OST) (noting however that OST is NOT a treatment for methamphetamine</w:t>
      </w:r>
      <w:r>
        <w:rPr>
          <w:rFonts w:ascii="Gill Sans MT" w:hAnsi="Gill Sans MT"/>
          <w:sz w:val="22"/>
        </w:rPr>
        <w:t xml:space="preserve"> use).</w:t>
      </w:r>
    </w:p>
    <w:p w14:paraId="0304303C" w14:textId="77777777" w:rsidR="006D58E1" w:rsidRPr="00B57163" w:rsidRDefault="006D58E1" w:rsidP="006D58E1">
      <w:pPr>
        <w:pStyle w:val="ListParagraph"/>
        <w:numPr>
          <w:ilvl w:val="0"/>
          <w:numId w:val="46"/>
        </w:numPr>
        <w:autoSpaceDE w:val="0"/>
        <w:autoSpaceDN w:val="0"/>
        <w:adjustRightInd w:val="0"/>
        <w:spacing w:before="0" w:after="140" w:line="260" w:lineRule="atLeast"/>
        <w:ind w:left="425" w:hanging="425"/>
        <w:contextualSpacing w:val="0"/>
        <w:jc w:val="left"/>
        <w:rPr>
          <w:rFonts w:ascii="Gill Sans MT" w:hAnsi="Gill Sans MT"/>
          <w:sz w:val="22"/>
        </w:rPr>
      </w:pPr>
      <w:r w:rsidRPr="008A4F54">
        <w:rPr>
          <w:rFonts w:ascii="Gill Sans MT" w:hAnsi="Gill Sans MT" w:cs="ArialMT"/>
          <w:sz w:val="22"/>
          <w:lang w:eastAsia="en-AU"/>
        </w:rPr>
        <w:t xml:space="preserve">In terms of very frequent </w:t>
      </w:r>
      <w:r>
        <w:rPr>
          <w:rFonts w:ascii="Gill Sans MT" w:hAnsi="Gill Sans MT" w:cs="ArialMT"/>
          <w:sz w:val="22"/>
          <w:lang w:eastAsia="en-AU"/>
        </w:rPr>
        <w:t xml:space="preserve">drugs </w:t>
      </w:r>
      <w:r w:rsidRPr="008A4F54">
        <w:rPr>
          <w:rFonts w:ascii="Gill Sans MT" w:hAnsi="Gill Sans MT" w:cs="ArialMT"/>
          <w:sz w:val="22"/>
          <w:lang w:eastAsia="en-AU"/>
        </w:rPr>
        <w:t xml:space="preserve">use (weekly or more often), three-quarters of </w:t>
      </w:r>
      <w:r>
        <w:rPr>
          <w:rFonts w:ascii="Gill Sans MT" w:hAnsi="Gill Sans MT" w:cs="ArialMT"/>
          <w:sz w:val="22"/>
          <w:lang w:eastAsia="en-AU"/>
        </w:rPr>
        <w:t xml:space="preserve">IDRS </w:t>
      </w:r>
      <w:r w:rsidRPr="008A4F54">
        <w:rPr>
          <w:rFonts w:ascii="Gill Sans MT" w:hAnsi="Gill Sans MT" w:cs="ArialMT"/>
          <w:sz w:val="22"/>
          <w:lang w:eastAsia="en-AU"/>
        </w:rPr>
        <w:t xml:space="preserve">participants smoked cannabis, half used pharmaceutical opioids and half used methamphetamines at this frequency. </w:t>
      </w:r>
    </w:p>
    <w:p w14:paraId="58B4FAB3" w14:textId="77777777" w:rsidR="00AE1A0E" w:rsidRDefault="00AE1A0E" w:rsidP="006D58E1">
      <w:pPr>
        <w:pStyle w:val="ListParagraph"/>
        <w:autoSpaceDE w:val="0"/>
        <w:autoSpaceDN w:val="0"/>
        <w:adjustRightInd w:val="0"/>
        <w:spacing w:before="0" w:after="140" w:line="260" w:lineRule="atLeast"/>
        <w:ind w:left="426"/>
        <w:contextualSpacing w:val="0"/>
        <w:jc w:val="left"/>
        <w:rPr>
          <w:rFonts w:ascii="Gill Sans MT" w:hAnsi="Gill Sans MT" w:cs="ArialMT"/>
          <w:sz w:val="22"/>
          <w:lang w:eastAsia="en-AU"/>
        </w:rPr>
      </w:pPr>
      <w:r>
        <w:rPr>
          <w:rFonts w:ascii="Gill Sans MT" w:hAnsi="Gill Sans MT" w:cs="ArialMT"/>
          <w:sz w:val="22"/>
          <w:lang w:eastAsia="en-AU"/>
        </w:rPr>
        <w:br w:type="page"/>
      </w:r>
    </w:p>
    <w:p w14:paraId="52BB1B34" w14:textId="3C2B003D" w:rsidR="006D58E1" w:rsidRPr="008A4F54" w:rsidRDefault="006D58E1" w:rsidP="006D58E1">
      <w:pPr>
        <w:pStyle w:val="ListParagraph"/>
        <w:autoSpaceDE w:val="0"/>
        <w:autoSpaceDN w:val="0"/>
        <w:adjustRightInd w:val="0"/>
        <w:spacing w:before="0" w:after="140" w:line="260" w:lineRule="atLeast"/>
        <w:ind w:left="426"/>
        <w:contextualSpacing w:val="0"/>
        <w:jc w:val="left"/>
        <w:rPr>
          <w:rFonts w:ascii="Gill Sans MT" w:hAnsi="Gill Sans MT"/>
          <w:sz w:val="22"/>
        </w:rPr>
      </w:pPr>
      <w:r>
        <w:rPr>
          <w:rFonts w:ascii="Gill Sans MT" w:hAnsi="Gill Sans MT" w:cs="ArialMT"/>
          <w:sz w:val="22"/>
          <w:lang w:eastAsia="en-AU"/>
        </w:rPr>
        <w:lastRenderedPageBreak/>
        <w:t>Drugs used weekly or more within the IDRS PWID cohort, Tasmania 2014-2018:</w:t>
      </w:r>
    </w:p>
    <w:p w14:paraId="6F0F7694" w14:textId="77777777" w:rsidR="006D58E1" w:rsidRPr="008A4F54" w:rsidRDefault="006D58E1" w:rsidP="006D58E1">
      <w:pPr>
        <w:pStyle w:val="ListParagraph"/>
        <w:autoSpaceDE w:val="0"/>
        <w:autoSpaceDN w:val="0"/>
        <w:adjustRightInd w:val="0"/>
        <w:spacing w:before="0" w:after="140" w:line="260" w:lineRule="atLeast"/>
        <w:ind w:left="425"/>
        <w:contextualSpacing w:val="0"/>
        <w:jc w:val="center"/>
        <w:rPr>
          <w:rFonts w:ascii="Gill Sans MT" w:hAnsi="Gill Sans MT"/>
          <w:sz w:val="22"/>
        </w:rPr>
      </w:pPr>
      <w:r>
        <w:rPr>
          <w:rFonts w:ascii="Gill Sans MT" w:hAnsi="Gill Sans MT"/>
          <w:noProof/>
          <w:sz w:val="22"/>
        </w:rPr>
        <w:drawing>
          <wp:inline distT="0" distB="0" distL="0" distR="0" wp14:anchorId="75AFF7C3" wp14:editId="2B4313C7">
            <wp:extent cx="4372194" cy="2823864"/>
            <wp:effectExtent l="0" t="0" r="9525" b="0"/>
            <wp:docPr id="22" name="Picture 22" descr="Line Graph titled drugs used weekly or more within the IDRS WID cohort, Tasmania 2014-2018. information contained in bullet poin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9487AD.tmp"/>
                    <pic:cNvPicPr/>
                  </pic:nvPicPr>
                  <pic:blipFill rotWithShape="1">
                    <a:blip r:embed="rId48">
                      <a:extLst>
                        <a:ext uri="{28A0092B-C50C-407E-A947-70E740481C1C}">
                          <a14:useLocalDpi xmlns:a14="http://schemas.microsoft.com/office/drawing/2010/main" val="0"/>
                        </a:ext>
                      </a:extLst>
                    </a:blip>
                    <a:srcRect l="7191" t="30692" r="29076" b="15963"/>
                    <a:stretch/>
                  </pic:blipFill>
                  <pic:spPr bwMode="auto">
                    <a:xfrm>
                      <a:off x="0" y="0"/>
                      <a:ext cx="4379906" cy="2828845"/>
                    </a:xfrm>
                    <a:prstGeom prst="rect">
                      <a:avLst/>
                    </a:prstGeom>
                    <a:ln>
                      <a:noFill/>
                    </a:ln>
                    <a:extLst>
                      <a:ext uri="{53640926-AAD7-44D8-BBD7-CCE9431645EC}">
                        <a14:shadowObscured xmlns:a14="http://schemas.microsoft.com/office/drawing/2010/main"/>
                      </a:ext>
                    </a:extLst>
                  </pic:spPr>
                </pic:pic>
              </a:graphicData>
            </a:graphic>
          </wp:inline>
        </w:drawing>
      </w:r>
    </w:p>
    <w:p w14:paraId="3F44F0B2" w14:textId="77777777" w:rsidR="006D58E1" w:rsidRDefault="006D58E1" w:rsidP="006D58E1">
      <w:pPr>
        <w:pStyle w:val="ListParagraph"/>
        <w:numPr>
          <w:ilvl w:val="0"/>
          <w:numId w:val="76"/>
        </w:numPr>
        <w:autoSpaceDE w:val="0"/>
        <w:autoSpaceDN w:val="0"/>
        <w:adjustRightInd w:val="0"/>
        <w:spacing w:before="0" w:after="140" w:line="260" w:lineRule="atLeast"/>
        <w:ind w:left="425" w:hanging="425"/>
        <w:contextualSpacing w:val="0"/>
        <w:jc w:val="left"/>
        <w:rPr>
          <w:rFonts w:ascii="Gill Sans MT" w:hAnsi="Gill Sans MT" w:cs="ArialMT"/>
          <w:sz w:val="22"/>
          <w:lang w:eastAsia="en-AU"/>
        </w:rPr>
      </w:pPr>
      <w:r w:rsidRPr="00A03C02">
        <w:rPr>
          <w:rFonts w:ascii="Gill Sans MT" w:hAnsi="Gill Sans MT" w:cs="ArialMT"/>
          <w:sz w:val="22"/>
          <w:lang w:eastAsia="en-AU"/>
        </w:rPr>
        <w:t xml:space="preserve">Overall, rates of opioid use among IDRS participants has remained relatively stable between 2015 and 2018 following a notable decline from previous rates. Among recent opioid consumers contributing to the IDRS, almost three quarters screened positive for likely opioid dependence, and two thirds of these individuals were currently involved in drug treatment. </w:t>
      </w:r>
    </w:p>
    <w:p w14:paraId="52D2A9EA" w14:textId="77777777" w:rsidR="006D58E1" w:rsidRDefault="006D58E1" w:rsidP="006D58E1">
      <w:pPr>
        <w:pStyle w:val="ListParagraph"/>
        <w:autoSpaceDE w:val="0"/>
        <w:autoSpaceDN w:val="0"/>
        <w:adjustRightInd w:val="0"/>
        <w:spacing w:before="0" w:after="140" w:line="260" w:lineRule="atLeast"/>
        <w:ind w:left="425"/>
        <w:contextualSpacing w:val="0"/>
        <w:jc w:val="left"/>
        <w:rPr>
          <w:rFonts w:ascii="Gill Sans MT" w:hAnsi="Gill Sans MT" w:cs="ArialMT"/>
          <w:sz w:val="22"/>
          <w:lang w:eastAsia="en-AU"/>
        </w:rPr>
      </w:pPr>
      <w:r>
        <w:rPr>
          <w:rFonts w:ascii="Gill Sans MT" w:hAnsi="Gill Sans MT" w:cs="ArialMT"/>
          <w:sz w:val="22"/>
          <w:lang w:eastAsia="en-AU"/>
        </w:rPr>
        <w:t>Proportion of Tasmanian IDRS cohort reporting non-prescription use of pharmaceutical opioids in six months prior to interview, Tasmania 2009-2018.</w:t>
      </w:r>
    </w:p>
    <w:p w14:paraId="76CD5A42" w14:textId="77777777" w:rsidR="006D58E1" w:rsidRPr="00A03C02" w:rsidRDefault="006D58E1" w:rsidP="006D58E1">
      <w:pPr>
        <w:pStyle w:val="ListParagraph"/>
        <w:autoSpaceDE w:val="0"/>
        <w:autoSpaceDN w:val="0"/>
        <w:adjustRightInd w:val="0"/>
        <w:spacing w:before="0" w:after="140" w:line="260" w:lineRule="atLeast"/>
        <w:ind w:left="425"/>
        <w:contextualSpacing w:val="0"/>
        <w:jc w:val="center"/>
        <w:rPr>
          <w:rFonts w:ascii="Gill Sans MT" w:hAnsi="Gill Sans MT" w:cs="ArialMT"/>
          <w:sz w:val="22"/>
          <w:lang w:eastAsia="en-AU"/>
        </w:rPr>
      </w:pPr>
      <w:r>
        <w:rPr>
          <w:rFonts w:ascii="Gill Sans MT" w:hAnsi="Gill Sans MT" w:cs="ArialMT"/>
          <w:noProof/>
          <w:sz w:val="22"/>
          <w:lang w:eastAsia="en-AU"/>
        </w:rPr>
        <w:drawing>
          <wp:inline distT="0" distB="0" distL="0" distR="0" wp14:anchorId="58A10D42" wp14:editId="14D0F84E">
            <wp:extent cx="5343138" cy="3088257"/>
            <wp:effectExtent l="0" t="0" r="0" b="0"/>
            <wp:docPr id="23" name="Picture 23" descr="Line Graph showing information can be found at: https://ndarc.med.unsw.edu.au/news/online-now-2019-illicit-drug-reporting-system-and-ecstasy-and-related-drugs-reporting-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9433BE.tmp"/>
                    <pic:cNvPicPr/>
                  </pic:nvPicPr>
                  <pic:blipFill rotWithShape="1">
                    <a:blip r:embed="rId49">
                      <a:extLst>
                        <a:ext uri="{28A0092B-C50C-407E-A947-70E740481C1C}">
                          <a14:useLocalDpi xmlns:a14="http://schemas.microsoft.com/office/drawing/2010/main" val="0"/>
                        </a:ext>
                      </a:extLst>
                    </a:blip>
                    <a:srcRect l="8460" t="31052" r="25688" b="19622"/>
                    <a:stretch/>
                  </pic:blipFill>
                  <pic:spPr bwMode="auto">
                    <a:xfrm>
                      <a:off x="0" y="0"/>
                      <a:ext cx="5364021" cy="3100327"/>
                    </a:xfrm>
                    <a:prstGeom prst="rect">
                      <a:avLst/>
                    </a:prstGeom>
                    <a:ln>
                      <a:noFill/>
                    </a:ln>
                    <a:extLst>
                      <a:ext uri="{53640926-AAD7-44D8-BBD7-CCE9431645EC}">
                        <a14:shadowObscured xmlns:a14="http://schemas.microsoft.com/office/drawing/2010/main"/>
                      </a:ext>
                    </a:extLst>
                  </pic:spPr>
                </pic:pic>
              </a:graphicData>
            </a:graphic>
          </wp:inline>
        </w:drawing>
      </w:r>
    </w:p>
    <w:p w14:paraId="3F0C9787" w14:textId="77777777" w:rsidR="006D58E1" w:rsidRPr="00D31028" w:rsidRDefault="006D58E1" w:rsidP="006D58E1">
      <w:pPr>
        <w:pStyle w:val="ListParagraph"/>
        <w:numPr>
          <w:ilvl w:val="0"/>
          <w:numId w:val="76"/>
        </w:numPr>
        <w:autoSpaceDE w:val="0"/>
        <w:autoSpaceDN w:val="0"/>
        <w:adjustRightInd w:val="0"/>
        <w:spacing w:line="260" w:lineRule="atLeast"/>
        <w:ind w:left="426" w:hanging="426"/>
        <w:rPr>
          <w:rFonts w:ascii="Gill Sans MT" w:hAnsi="Gill Sans MT"/>
          <w:sz w:val="22"/>
        </w:rPr>
      </w:pPr>
      <w:r>
        <w:rPr>
          <w:rFonts w:ascii="Gill Sans MT" w:hAnsi="Gill Sans MT"/>
          <w:sz w:val="22"/>
        </w:rPr>
        <w:t>Use of cannabis does not differ much between the cohorts, but there are differences in daily use.</w:t>
      </w:r>
    </w:p>
    <w:p w14:paraId="611DF221" w14:textId="77777777" w:rsidR="006D58E1" w:rsidRPr="00D31028" w:rsidRDefault="006D58E1" w:rsidP="006D58E1">
      <w:pPr>
        <w:tabs>
          <w:tab w:val="clear" w:pos="567"/>
        </w:tabs>
        <w:autoSpaceDE w:val="0"/>
        <w:autoSpaceDN w:val="0"/>
        <w:adjustRightInd w:val="0"/>
        <w:spacing w:line="260" w:lineRule="atLeast"/>
        <w:ind w:left="426" w:hanging="426"/>
        <w:jc w:val="center"/>
      </w:pPr>
      <w:r>
        <w:rPr>
          <w:noProof/>
        </w:rPr>
        <w:lastRenderedPageBreak/>
        <w:drawing>
          <wp:inline distT="0" distB="0" distL="0" distR="0" wp14:anchorId="0357F84A" wp14:editId="30BB63FB">
            <wp:extent cx="4399428" cy="3191774"/>
            <wp:effectExtent l="0" t="0" r="1270" b="8890"/>
            <wp:docPr id="24" name="Picture 24" descr="Bar Graph showing information can be found at: https://ndarc.med.unsw.edu.au/news/online-now-2019-illicit-drug-reporting-system-and-ecstasy-and-related-drugs-reporting-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E82E41.tmp"/>
                    <pic:cNvPicPr/>
                  </pic:nvPicPr>
                  <pic:blipFill rotWithShape="1">
                    <a:blip r:embed="rId50">
                      <a:extLst>
                        <a:ext uri="{28A0092B-C50C-407E-A947-70E740481C1C}">
                          <a14:useLocalDpi xmlns:a14="http://schemas.microsoft.com/office/drawing/2010/main" val="0"/>
                        </a:ext>
                      </a:extLst>
                    </a:blip>
                    <a:srcRect l="6543" t="26072" r="23112" b="7787"/>
                    <a:stretch/>
                  </pic:blipFill>
                  <pic:spPr bwMode="auto">
                    <a:xfrm>
                      <a:off x="0" y="0"/>
                      <a:ext cx="4414724" cy="3202871"/>
                    </a:xfrm>
                    <a:prstGeom prst="rect">
                      <a:avLst/>
                    </a:prstGeom>
                    <a:ln>
                      <a:noFill/>
                    </a:ln>
                    <a:extLst>
                      <a:ext uri="{53640926-AAD7-44D8-BBD7-CCE9431645EC}">
                        <a14:shadowObscured xmlns:a14="http://schemas.microsoft.com/office/drawing/2010/main"/>
                      </a:ext>
                    </a:extLst>
                  </pic:spPr>
                </pic:pic>
              </a:graphicData>
            </a:graphic>
          </wp:inline>
        </w:drawing>
      </w:r>
    </w:p>
    <w:p w14:paraId="54DEBEE5" w14:textId="77777777" w:rsidR="006D58E1" w:rsidRDefault="006D58E1" w:rsidP="006D58E1">
      <w:pPr>
        <w:pStyle w:val="ListParagraph"/>
        <w:numPr>
          <w:ilvl w:val="0"/>
          <w:numId w:val="76"/>
        </w:numPr>
        <w:autoSpaceDE w:val="0"/>
        <w:autoSpaceDN w:val="0"/>
        <w:adjustRightInd w:val="0"/>
        <w:spacing w:before="0" w:after="140" w:line="260" w:lineRule="atLeast"/>
        <w:ind w:left="425" w:hanging="426"/>
        <w:contextualSpacing w:val="0"/>
        <w:jc w:val="left"/>
        <w:rPr>
          <w:rFonts w:ascii="Gill Sans MT" w:hAnsi="Gill Sans MT"/>
          <w:sz w:val="22"/>
        </w:rPr>
      </w:pPr>
      <w:r>
        <w:rPr>
          <w:rFonts w:ascii="Gill Sans MT" w:hAnsi="Gill Sans MT"/>
          <w:sz w:val="22"/>
        </w:rPr>
        <w:t>EDRS participants are selected on the basis they are frequent ecstasy users. 36 per cent of the 2018 sample used ecstasy weekly or more often, but less than weekly use of alcohol and cannabis.</w:t>
      </w:r>
    </w:p>
    <w:p w14:paraId="004E280B" w14:textId="6B399214" w:rsidR="006D58E1" w:rsidRPr="00C91045" w:rsidRDefault="006D58E1" w:rsidP="006D58E1">
      <w:pPr>
        <w:pStyle w:val="ListParagraph"/>
        <w:autoSpaceDE w:val="0"/>
        <w:autoSpaceDN w:val="0"/>
        <w:adjustRightInd w:val="0"/>
        <w:spacing w:before="0" w:after="140" w:line="260" w:lineRule="atLeast"/>
        <w:ind w:left="425"/>
        <w:contextualSpacing w:val="0"/>
        <w:jc w:val="left"/>
        <w:rPr>
          <w:rFonts w:ascii="Gill Sans MT" w:hAnsi="Gill Sans MT"/>
          <w:sz w:val="22"/>
        </w:rPr>
      </w:pPr>
      <w:r>
        <w:rPr>
          <w:rFonts w:ascii="Gill Sans MT" w:hAnsi="Gill Sans MT"/>
          <w:sz w:val="22"/>
        </w:rPr>
        <w:t>Drugs used weekly or more among the EDRS sample, Tasmania 2014-2018</w:t>
      </w:r>
    </w:p>
    <w:p w14:paraId="5162E119" w14:textId="73953AB3" w:rsidR="006D58E1" w:rsidRDefault="006D58E1" w:rsidP="006D58E1">
      <w:pPr>
        <w:pStyle w:val="ListParagraph"/>
        <w:autoSpaceDE w:val="0"/>
        <w:autoSpaceDN w:val="0"/>
        <w:adjustRightInd w:val="0"/>
        <w:spacing w:before="0" w:after="140" w:line="260" w:lineRule="atLeast"/>
        <w:ind w:left="425"/>
        <w:contextualSpacing w:val="0"/>
        <w:jc w:val="center"/>
        <w:rPr>
          <w:rFonts w:ascii="Gill Sans MT" w:hAnsi="Gill Sans MT"/>
          <w:sz w:val="22"/>
        </w:rPr>
      </w:pPr>
      <w:r>
        <w:rPr>
          <w:rFonts w:ascii="Gill Sans MT" w:hAnsi="Gill Sans MT"/>
          <w:noProof/>
          <w:sz w:val="22"/>
        </w:rPr>
        <w:drawing>
          <wp:inline distT="0" distB="0" distL="0" distR="0" wp14:anchorId="165A6449" wp14:editId="727B4B64">
            <wp:extent cx="4562008" cy="3028864"/>
            <wp:effectExtent l="0" t="0" r="0" b="635"/>
            <wp:docPr id="25" name="Picture 25" descr="Line Graph showing information can be found at: https://ndarc.med.unsw.edu.au/news/online-now-2019-illicit-drug-reporting-system-and-ecstasy-and-related-drugs-reporting-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8E3C1.tmp"/>
                    <pic:cNvPicPr/>
                  </pic:nvPicPr>
                  <pic:blipFill rotWithShape="1">
                    <a:blip r:embed="rId51">
                      <a:extLst>
                        <a:ext uri="{28A0092B-C50C-407E-A947-70E740481C1C}">
                          <a14:useLocalDpi xmlns:a14="http://schemas.microsoft.com/office/drawing/2010/main" val="0"/>
                        </a:ext>
                      </a:extLst>
                    </a:blip>
                    <a:srcRect l="6379" t="31795" r="26541" b="9488"/>
                    <a:stretch/>
                  </pic:blipFill>
                  <pic:spPr bwMode="auto">
                    <a:xfrm>
                      <a:off x="0" y="0"/>
                      <a:ext cx="4581535" cy="3041828"/>
                    </a:xfrm>
                    <a:prstGeom prst="rect">
                      <a:avLst/>
                    </a:prstGeom>
                    <a:ln>
                      <a:noFill/>
                    </a:ln>
                    <a:extLst>
                      <a:ext uri="{53640926-AAD7-44D8-BBD7-CCE9431645EC}">
                        <a14:shadowObscured xmlns:a14="http://schemas.microsoft.com/office/drawing/2010/main"/>
                      </a:ext>
                    </a:extLst>
                  </pic:spPr>
                </pic:pic>
              </a:graphicData>
            </a:graphic>
          </wp:inline>
        </w:drawing>
      </w:r>
    </w:p>
    <w:p w14:paraId="59625147" w14:textId="77777777" w:rsidR="006D58E1" w:rsidRDefault="006D58E1" w:rsidP="006D58E1">
      <w:pPr>
        <w:pStyle w:val="ListParagraph"/>
        <w:numPr>
          <w:ilvl w:val="0"/>
          <w:numId w:val="76"/>
        </w:numPr>
        <w:autoSpaceDE w:val="0"/>
        <w:autoSpaceDN w:val="0"/>
        <w:adjustRightInd w:val="0"/>
        <w:spacing w:before="0" w:after="140" w:line="260" w:lineRule="atLeast"/>
        <w:ind w:left="425" w:hanging="425"/>
        <w:contextualSpacing w:val="0"/>
        <w:jc w:val="left"/>
        <w:rPr>
          <w:rFonts w:ascii="Gill Sans MT" w:hAnsi="Gill Sans MT" w:cs="ArialMT"/>
          <w:sz w:val="22"/>
          <w:lang w:eastAsia="en-AU"/>
        </w:rPr>
      </w:pPr>
      <w:r>
        <w:rPr>
          <w:rFonts w:ascii="Gill Sans MT" w:hAnsi="Gill Sans MT" w:cs="ArialMT"/>
          <w:sz w:val="22"/>
          <w:lang w:eastAsia="en-AU"/>
        </w:rPr>
        <w:t>Half of the IDRS participants and a</w:t>
      </w:r>
      <w:r w:rsidRPr="00335B83">
        <w:rPr>
          <w:rFonts w:ascii="Gill Sans MT" w:hAnsi="Gill Sans MT" w:cs="ArialMT"/>
          <w:sz w:val="22"/>
          <w:lang w:eastAsia="en-AU"/>
        </w:rPr>
        <w:t xml:space="preserve">lmost six in ten of the EDRS participants self-reported experiencing a mental health problem in the past 6 months. </w:t>
      </w:r>
      <w:r>
        <w:rPr>
          <w:rFonts w:ascii="Gill Sans MT" w:hAnsi="Gill Sans MT" w:cs="ArialMT"/>
          <w:sz w:val="22"/>
          <w:lang w:eastAsia="en-AU"/>
        </w:rPr>
        <w:t xml:space="preserve"> Almost two thirds of both the IDRS and EDRS sample who reported a mental health problem had attended a mental health professional. </w:t>
      </w:r>
    </w:p>
    <w:p w14:paraId="2BD4E6D0" w14:textId="77777777" w:rsidR="006D58E1" w:rsidRDefault="006D58E1" w:rsidP="006D58E1">
      <w:pPr>
        <w:tabs>
          <w:tab w:val="clear" w:pos="567"/>
        </w:tabs>
        <w:autoSpaceDE w:val="0"/>
        <w:autoSpaceDN w:val="0"/>
        <w:adjustRightInd w:val="0"/>
        <w:spacing w:line="260" w:lineRule="atLeast"/>
        <w:jc w:val="center"/>
      </w:pPr>
      <w:r>
        <w:rPr>
          <w:noProof/>
        </w:rPr>
        <w:lastRenderedPageBreak/>
        <w:drawing>
          <wp:inline distT="0" distB="0" distL="0" distR="0" wp14:anchorId="59EA41C1" wp14:editId="79930591">
            <wp:extent cx="4833450" cy="3355675"/>
            <wp:effectExtent l="0" t="0" r="5715" b="0"/>
            <wp:docPr id="26" name="Picture 26" descr="Line Graph showing information can be found at: https://ndarc.med.unsw.edu.au/news/online-now-2019-illicit-drug-reporting-system-and-ecstasy-and-related-drugs-reporting-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E84120.tmp"/>
                    <pic:cNvPicPr/>
                  </pic:nvPicPr>
                  <pic:blipFill rotWithShape="1">
                    <a:blip r:embed="rId52">
                      <a:extLst>
                        <a:ext uri="{28A0092B-C50C-407E-A947-70E740481C1C}">
                          <a14:useLocalDpi xmlns:a14="http://schemas.microsoft.com/office/drawing/2010/main" val="0"/>
                        </a:ext>
                      </a:extLst>
                    </a:blip>
                    <a:srcRect l="4417" t="22892" r="23099" b="9480"/>
                    <a:stretch/>
                  </pic:blipFill>
                  <pic:spPr bwMode="auto">
                    <a:xfrm>
                      <a:off x="0" y="0"/>
                      <a:ext cx="4852911" cy="3369186"/>
                    </a:xfrm>
                    <a:prstGeom prst="rect">
                      <a:avLst/>
                    </a:prstGeom>
                    <a:ln>
                      <a:noFill/>
                    </a:ln>
                    <a:extLst>
                      <a:ext uri="{53640926-AAD7-44D8-BBD7-CCE9431645EC}">
                        <a14:shadowObscured xmlns:a14="http://schemas.microsoft.com/office/drawing/2010/main"/>
                      </a:ext>
                    </a:extLst>
                  </pic:spPr>
                </pic:pic>
              </a:graphicData>
            </a:graphic>
          </wp:inline>
        </w:drawing>
      </w:r>
    </w:p>
    <w:p w14:paraId="21A7811F" w14:textId="77777777" w:rsidR="006D58E1" w:rsidRDefault="006D58E1" w:rsidP="006D58E1">
      <w:pPr>
        <w:tabs>
          <w:tab w:val="clear" w:pos="567"/>
        </w:tabs>
        <w:autoSpaceDE w:val="0"/>
        <w:autoSpaceDN w:val="0"/>
        <w:adjustRightInd w:val="0"/>
        <w:spacing w:line="260" w:lineRule="atLeast"/>
      </w:pPr>
    </w:p>
    <w:p w14:paraId="321147A6" w14:textId="77777777" w:rsidR="006D58E1" w:rsidRDefault="006D58E1" w:rsidP="006D58E1">
      <w:pPr>
        <w:tabs>
          <w:tab w:val="clear" w:pos="567"/>
        </w:tabs>
        <w:autoSpaceDE w:val="0"/>
        <w:autoSpaceDN w:val="0"/>
        <w:adjustRightInd w:val="0"/>
        <w:spacing w:line="260" w:lineRule="atLeast"/>
      </w:pPr>
    </w:p>
    <w:p w14:paraId="0FAD8159" w14:textId="77777777" w:rsidR="00575966" w:rsidRDefault="00575966" w:rsidP="00575966">
      <w:pPr>
        <w:tabs>
          <w:tab w:val="clear" w:pos="567"/>
        </w:tabs>
        <w:autoSpaceDE w:val="0"/>
        <w:autoSpaceDN w:val="0"/>
        <w:adjustRightInd w:val="0"/>
        <w:spacing w:line="260" w:lineRule="atLeast"/>
        <w:rPr>
          <w:rFonts w:cs="ArialMT"/>
          <w:lang w:eastAsia="en-AU"/>
        </w:rPr>
      </w:pPr>
    </w:p>
    <w:p w14:paraId="29400732" w14:textId="77777777" w:rsidR="00575966" w:rsidRDefault="00575966" w:rsidP="00575966">
      <w:pPr>
        <w:tabs>
          <w:tab w:val="clear" w:pos="567"/>
        </w:tabs>
        <w:autoSpaceDE w:val="0"/>
        <w:autoSpaceDN w:val="0"/>
        <w:adjustRightInd w:val="0"/>
        <w:spacing w:line="260" w:lineRule="atLeast"/>
        <w:rPr>
          <w:rFonts w:cs="ArialMT"/>
          <w:lang w:eastAsia="en-AU"/>
        </w:rPr>
      </w:pPr>
    </w:p>
    <w:p w14:paraId="5382021E" w14:textId="77777777" w:rsidR="00575966" w:rsidRDefault="00575966" w:rsidP="00575966">
      <w:pPr>
        <w:tabs>
          <w:tab w:val="clear" w:pos="567"/>
        </w:tabs>
        <w:autoSpaceDE w:val="0"/>
        <w:autoSpaceDN w:val="0"/>
        <w:adjustRightInd w:val="0"/>
        <w:spacing w:line="260" w:lineRule="atLeast"/>
        <w:rPr>
          <w:rFonts w:cs="ArialMT"/>
          <w:lang w:eastAsia="en-AU"/>
        </w:rPr>
      </w:pPr>
    </w:p>
    <w:p w14:paraId="35178C47" w14:textId="1860C569" w:rsidR="00575966" w:rsidRPr="00B04CE7" w:rsidRDefault="00575966" w:rsidP="00575966">
      <w:pPr>
        <w:tabs>
          <w:tab w:val="clear" w:pos="567"/>
        </w:tabs>
        <w:autoSpaceDE w:val="0"/>
        <w:autoSpaceDN w:val="0"/>
        <w:adjustRightInd w:val="0"/>
        <w:spacing w:line="260" w:lineRule="atLeast"/>
        <w:sectPr w:rsidR="00575966" w:rsidRPr="00B04CE7" w:rsidSect="007C250C">
          <w:pgSz w:w="11906" w:h="16838" w:code="9"/>
          <w:pgMar w:top="907" w:right="1134" w:bottom="1247" w:left="1134" w:header="709" w:footer="709" w:gutter="0"/>
          <w:cols w:space="708"/>
          <w:docGrid w:linePitch="360"/>
        </w:sectPr>
      </w:pPr>
    </w:p>
    <w:p w14:paraId="636D5762" w14:textId="77777777" w:rsidR="00265A90" w:rsidRDefault="000D6AD0" w:rsidP="00964180">
      <w:pPr>
        <w:pStyle w:val="Heading1"/>
        <w:keepNext w:val="0"/>
        <w:pageBreakBefore w:val="0"/>
        <w:widowControl w:val="0"/>
        <w:spacing w:before="0"/>
      </w:pPr>
      <w:bookmarkStart w:id="21" w:name="_Toc32915498"/>
      <w:r>
        <w:lastRenderedPageBreak/>
        <w:t>References</w:t>
      </w:r>
      <w:bookmarkEnd w:id="21"/>
    </w:p>
    <w:p w14:paraId="74BE3166" w14:textId="77777777" w:rsidR="0072350F" w:rsidRPr="0014741B" w:rsidRDefault="0072350F" w:rsidP="0016269B">
      <w:pPr>
        <w:pStyle w:val="EndnoteText"/>
        <w:tabs>
          <w:tab w:val="clear" w:pos="567"/>
        </w:tabs>
        <w:spacing w:line="260" w:lineRule="atLeast"/>
        <w:ind w:left="284" w:hanging="284"/>
      </w:pPr>
      <w:r w:rsidRPr="0014741B">
        <w:rPr>
          <w:noProof/>
        </w:rPr>
        <w:t>Australian Bureau of Statistics</w:t>
      </w:r>
      <w:r>
        <w:rPr>
          <w:noProof/>
        </w:rPr>
        <w:t xml:space="preserve"> (ABS) 2019</w:t>
      </w:r>
      <w:r w:rsidRPr="0014741B">
        <w:rPr>
          <w:noProof/>
        </w:rPr>
        <w:t xml:space="preserve">. </w:t>
      </w:r>
      <w:r>
        <w:rPr>
          <w:noProof/>
        </w:rPr>
        <w:t xml:space="preserve">4364.0.55.001. </w:t>
      </w:r>
      <w:r w:rsidRPr="0014741B">
        <w:rPr>
          <w:noProof/>
        </w:rPr>
        <w:t xml:space="preserve">National Health Survey: First Results, </w:t>
      </w:r>
      <w:r>
        <w:rPr>
          <w:noProof/>
        </w:rPr>
        <w:t>2017-18</w:t>
      </w:r>
      <w:r w:rsidRPr="0014741B">
        <w:rPr>
          <w:noProof/>
        </w:rPr>
        <w:t xml:space="preserve"> [INTERNET]. Canberra: ABS; </w:t>
      </w:r>
      <w:r>
        <w:rPr>
          <w:noProof/>
        </w:rPr>
        <w:t xml:space="preserve">2018. Availabe from: </w:t>
      </w:r>
      <w:hyperlink r:id="rId53" w:history="1">
        <w:r w:rsidRPr="009F63B1">
          <w:rPr>
            <w:rStyle w:val="Hyperlink"/>
            <w:noProof/>
          </w:rPr>
          <w:t>https://www.abs.gov.au/ausstats/abs@nsf/mf/4364.0.55.001</w:t>
        </w:r>
      </w:hyperlink>
      <w:r>
        <w:rPr>
          <w:noProof/>
        </w:rPr>
        <w:t xml:space="preserve"> </w:t>
      </w:r>
    </w:p>
    <w:p w14:paraId="3F7A1E5A" w14:textId="77777777" w:rsidR="0072350F" w:rsidRPr="0014741B" w:rsidRDefault="0072350F" w:rsidP="0016269B">
      <w:pPr>
        <w:spacing w:line="260" w:lineRule="atLeast"/>
        <w:ind w:left="284" w:hanging="284"/>
        <w:rPr>
          <w:noProof/>
          <w:sz w:val="20"/>
          <w:szCs w:val="20"/>
        </w:rPr>
      </w:pPr>
      <w:r w:rsidRPr="0014741B">
        <w:rPr>
          <w:noProof/>
          <w:sz w:val="20"/>
          <w:szCs w:val="20"/>
        </w:rPr>
        <w:t>Australian College for Emergency Medicine. Alcohol Harm in Emergency Departments (AHED) Program [Internet]. 2016</w:t>
      </w:r>
      <w:r>
        <w:rPr>
          <w:noProof/>
          <w:sz w:val="20"/>
          <w:szCs w:val="20"/>
        </w:rPr>
        <w:t xml:space="preserve">. </w:t>
      </w:r>
      <w:r w:rsidRPr="0014741B">
        <w:rPr>
          <w:noProof/>
          <w:sz w:val="20"/>
          <w:szCs w:val="20"/>
        </w:rPr>
        <w:t xml:space="preserve">Available from: </w:t>
      </w:r>
      <w:hyperlink r:id="rId54" w:history="1">
        <w:r w:rsidRPr="0006086D">
          <w:rPr>
            <w:rStyle w:val="Hyperlink"/>
            <w:noProof/>
            <w:sz w:val="20"/>
            <w:szCs w:val="20"/>
          </w:rPr>
          <w:t>https://acem.org.au/About-ACEM/Programs-Projects/Alcohol-Harm-in-ED-(AHED)-Project.aspx</w:t>
        </w:r>
      </w:hyperlink>
      <w:r w:rsidRPr="0014741B">
        <w:rPr>
          <w:noProof/>
          <w:sz w:val="20"/>
          <w:szCs w:val="20"/>
        </w:rPr>
        <w:t>.</w:t>
      </w:r>
      <w:r>
        <w:rPr>
          <w:noProof/>
          <w:sz w:val="20"/>
          <w:szCs w:val="20"/>
        </w:rPr>
        <w:t xml:space="preserve"> </w:t>
      </w:r>
    </w:p>
    <w:p w14:paraId="320DDB71" w14:textId="4B2C2E20" w:rsidR="00E775F9" w:rsidRPr="00E775F9" w:rsidRDefault="00E775F9" w:rsidP="00E775F9">
      <w:pPr>
        <w:tabs>
          <w:tab w:val="clear" w:pos="567"/>
        </w:tabs>
        <w:autoSpaceDE w:val="0"/>
        <w:autoSpaceDN w:val="0"/>
        <w:adjustRightInd w:val="0"/>
        <w:spacing w:line="260" w:lineRule="atLeast"/>
        <w:ind w:left="284" w:hanging="284"/>
        <w:rPr>
          <w:rFonts w:cs="ArialMT"/>
          <w:sz w:val="20"/>
          <w:szCs w:val="20"/>
          <w:lang w:eastAsia="en-AU"/>
        </w:rPr>
      </w:pPr>
      <w:r w:rsidRPr="00E775F9">
        <w:rPr>
          <w:rFonts w:cs="ArialMT"/>
          <w:sz w:val="20"/>
          <w:szCs w:val="20"/>
          <w:lang w:eastAsia="en-AU"/>
        </w:rPr>
        <w:t>Australian Criminal Intelligence Commission</w:t>
      </w:r>
      <w:r>
        <w:rPr>
          <w:rFonts w:cs="ArialMT"/>
          <w:sz w:val="20"/>
          <w:szCs w:val="20"/>
          <w:lang w:eastAsia="en-AU"/>
        </w:rPr>
        <w:t xml:space="preserve"> (ACIC) 2019</w:t>
      </w:r>
      <w:r w:rsidR="001D6CC9">
        <w:rPr>
          <w:rFonts w:cs="ArialMT"/>
          <w:sz w:val="20"/>
          <w:szCs w:val="20"/>
          <w:lang w:eastAsia="en-AU"/>
        </w:rPr>
        <w:t>a</w:t>
      </w:r>
      <w:r w:rsidRPr="00E775F9">
        <w:rPr>
          <w:rFonts w:cs="ArialMT"/>
          <w:sz w:val="20"/>
          <w:szCs w:val="20"/>
          <w:lang w:eastAsia="en-AU"/>
        </w:rPr>
        <w:t>. National Wastewater Drug Monitoring</w:t>
      </w:r>
      <w:r>
        <w:rPr>
          <w:rFonts w:cs="ArialMT"/>
          <w:sz w:val="20"/>
          <w:szCs w:val="20"/>
          <w:lang w:eastAsia="en-AU"/>
        </w:rPr>
        <w:t xml:space="preserve"> </w:t>
      </w:r>
      <w:r w:rsidRPr="00E775F9">
        <w:rPr>
          <w:rFonts w:cs="ArialMT"/>
          <w:sz w:val="20"/>
          <w:szCs w:val="20"/>
          <w:lang w:eastAsia="en-AU"/>
        </w:rPr>
        <w:t xml:space="preserve">Program – Report </w:t>
      </w:r>
      <w:r w:rsidR="000103F0">
        <w:rPr>
          <w:rFonts w:cs="ArialMT"/>
          <w:sz w:val="20"/>
          <w:szCs w:val="20"/>
          <w:lang w:eastAsia="en-AU"/>
        </w:rPr>
        <w:t>8</w:t>
      </w:r>
      <w:r>
        <w:rPr>
          <w:rFonts w:cs="ArialMT"/>
          <w:sz w:val="20"/>
          <w:szCs w:val="20"/>
          <w:lang w:eastAsia="en-AU"/>
        </w:rPr>
        <w:t xml:space="preserve">, </w:t>
      </w:r>
      <w:r w:rsidR="000103F0">
        <w:rPr>
          <w:rFonts w:cs="ArialMT"/>
          <w:sz w:val="20"/>
          <w:szCs w:val="20"/>
          <w:lang w:eastAsia="en-AU"/>
        </w:rPr>
        <w:t xml:space="preserve">August </w:t>
      </w:r>
      <w:r>
        <w:rPr>
          <w:rFonts w:cs="ArialMT"/>
          <w:sz w:val="20"/>
          <w:szCs w:val="20"/>
          <w:lang w:eastAsia="en-AU"/>
        </w:rPr>
        <w:t>2019</w:t>
      </w:r>
    </w:p>
    <w:p w14:paraId="6993507B" w14:textId="77777777" w:rsidR="001D6CC9" w:rsidRPr="0016269B" w:rsidRDefault="001D6CC9" w:rsidP="001D6CC9">
      <w:pPr>
        <w:tabs>
          <w:tab w:val="clear" w:pos="567"/>
        </w:tabs>
        <w:autoSpaceDE w:val="0"/>
        <w:autoSpaceDN w:val="0"/>
        <w:adjustRightInd w:val="0"/>
        <w:spacing w:line="260" w:lineRule="atLeast"/>
        <w:ind w:left="284" w:hanging="284"/>
        <w:rPr>
          <w:sz w:val="20"/>
          <w:szCs w:val="20"/>
        </w:rPr>
      </w:pPr>
      <w:r w:rsidRPr="0016269B">
        <w:rPr>
          <w:rFonts w:cs="Calibri"/>
          <w:sz w:val="20"/>
          <w:szCs w:val="20"/>
          <w:lang w:eastAsia="en-AU"/>
        </w:rPr>
        <w:t>Australian Criminal Intelligence Commission (ACIC) 2019</w:t>
      </w:r>
      <w:r>
        <w:rPr>
          <w:rFonts w:cs="Calibri"/>
          <w:sz w:val="20"/>
          <w:szCs w:val="20"/>
          <w:lang w:eastAsia="en-AU"/>
        </w:rPr>
        <w:t>b</w:t>
      </w:r>
      <w:r w:rsidRPr="0016269B">
        <w:rPr>
          <w:rFonts w:cs="Calibri"/>
          <w:sz w:val="20"/>
          <w:szCs w:val="20"/>
          <w:lang w:eastAsia="en-AU"/>
        </w:rPr>
        <w:t>. Illicit Drug Data Report 2017-18. Canberra: ACIC</w:t>
      </w:r>
    </w:p>
    <w:p w14:paraId="2CCC37CC" w14:textId="3A6917B1" w:rsidR="00D979A7" w:rsidRDefault="00E52981" w:rsidP="00E775F9">
      <w:pPr>
        <w:spacing w:line="260" w:lineRule="atLeast"/>
        <w:ind w:left="284" w:hanging="284"/>
        <w:rPr>
          <w:rFonts w:cs="Myriad Pro"/>
          <w:color w:val="000000"/>
          <w:sz w:val="20"/>
          <w:szCs w:val="20"/>
        </w:rPr>
      </w:pPr>
      <w:r>
        <w:rPr>
          <w:rFonts w:cs="Myriad Pro"/>
          <w:color w:val="000000"/>
          <w:sz w:val="20"/>
          <w:szCs w:val="20"/>
        </w:rPr>
        <w:t>Australian Commission on Safety and Quality in Health Care (ACSQHC)</w:t>
      </w:r>
      <w:r w:rsidR="00063320">
        <w:rPr>
          <w:rFonts w:cs="Myriad Pro"/>
          <w:color w:val="000000"/>
          <w:sz w:val="20"/>
          <w:szCs w:val="20"/>
        </w:rPr>
        <w:t xml:space="preserve"> 2019</w:t>
      </w:r>
      <w:r>
        <w:rPr>
          <w:rFonts w:cs="Myriad Pro"/>
          <w:color w:val="000000"/>
          <w:sz w:val="20"/>
          <w:szCs w:val="20"/>
        </w:rPr>
        <w:t xml:space="preserve">. The Third Atlas of Healthcare Variation 2018 – Data sets accessed: </w:t>
      </w:r>
      <w:hyperlink r:id="rId55" w:history="1">
        <w:r w:rsidRPr="00E52981">
          <w:rPr>
            <w:rStyle w:val="Hyperlink"/>
            <w:rFonts w:cs="Myriad Pro"/>
            <w:sz w:val="20"/>
            <w:szCs w:val="20"/>
          </w:rPr>
          <w:t>The Third Atlas of Healthcare Variation 2018 - Data sets | Australia Commission on Safety and Quality in Healthcare</w:t>
        </w:r>
      </w:hyperlink>
    </w:p>
    <w:p w14:paraId="3A144CC2" w14:textId="5B2EC86F" w:rsidR="0072350F" w:rsidRPr="0014741B" w:rsidRDefault="0072350F" w:rsidP="00B04CE7">
      <w:pPr>
        <w:spacing w:line="260" w:lineRule="atLeast"/>
        <w:ind w:left="284" w:hanging="284"/>
        <w:rPr>
          <w:rFonts w:cstheme="minorHAnsi"/>
          <w:sz w:val="20"/>
          <w:szCs w:val="20"/>
        </w:rPr>
      </w:pPr>
      <w:r w:rsidRPr="0014741B">
        <w:rPr>
          <w:rFonts w:cs="Myriad Pro"/>
          <w:color w:val="000000"/>
          <w:sz w:val="20"/>
          <w:szCs w:val="20"/>
        </w:rPr>
        <w:t xml:space="preserve">Australian Institute of Health and Welfare </w:t>
      </w:r>
      <w:r>
        <w:rPr>
          <w:rFonts w:cs="Myriad Pro"/>
          <w:color w:val="000000"/>
          <w:sz w:val="20"/>
          <w:szCs w:val="20"/>
        </w:rPr>
        <w:t xml:space="preserve">(AIHW) </w:t>
      </w:r>
      <w:r w:rsidRPr="0014741B">
        <w:rPr>
          <w:rFonts w:cs="Myriad Pro"/>
          <w:color w:val="000000"/>
          <w:sz w:val="20"/>
          <w:szCs w:val="20"/>
        </w:rPr>
        <w:t>2017. National Drug Strategy Household Survey 2016: detailed findings. Drug Statistics series no. 31. Cat. no. PHE 214. Canberra: AIHW</w:t>
      </w:r>
      <w:r w:rsidRPr="0014741B">
        <w:rPr>
          <w:rFonts w:cstheme="minorHAnsi"/>
          <w:sz w:val="20"/>
          <w:szCs w:val="20"/>
        </w:rPr>
        <w:t>.</w:t>
      </w:r>
    </w:p>
    <w:p w14:paraId="37D17AAE" w14:textId="77777777" w:rsidR="006F16B1" w:rsidRPr="0070204A" w:rsidRDefault="006F16B1" w:rsidP="00B04CE7">
      <w:pPr>
        <w:widowControl w:val="0"/>
        <w:autoSpaceDE w:val="0"/>
        <w:autoSpaceDN w:val="0"/>
        <w:adjustRightInd w:val="0"/>
        <w:spacing w:line="260" w:lineRule="atLeast"/>
        <w:ind w:left="426" w:hanging="426"/>
        <w:rPr>
          <w:sz w:val="20"/>
          <w:szCs w:val="20"/>
        </w:rPr>
      </w:pPr>
      <w:r w:rsidRPr="0070204A">
        <w:rPr>
          <w:sz w:val="20"/>
          <w:szCs w:val="20"/>
        </w:rPr>
        <w:t>Australian Institute of Health and Welfare (AIHW)</w:t>
      </w:r>
      <w:r>
        <w:rPr>
          <w:sz w:val="20"/>
          <w:szCs w:val="20"/>
        </w:rPr>
        <w:t xml:space="preserve"> </w:t>
      </w:r>
      <w:r w:rsidRPr="0070204A">
        <w:rPr>
          <w:sz w:val="20"/>
          <w:szCs w:val="20"/>
        </w:rPr>
        <w:t xml:space="preserve">2018. Alcohol, tobacco and other drugs in Australia. Cat. no. HSE 221. Canberra: AIHW </w:t>
      </w:r>
    </w:p>
    <w:p w14:paraId="7A5C34A2" w14:textId="77777777" w:rsidR="0072350F" w:rsidRDefault="0072350F" w:rsidP="006F16B1">
      <w:pPr>
        <w:shd w:val="clear" w:color="auto" w:fill="FFFFFF"/>
        <w:spacing w:line="260" w:lineRule="atLeast"/>
        <w:ind w:left="284" w:hanging="284"/>
        <w:rPr>
          <w:sz w:val="20"/>
          <w:szCs w:val="20"/>
        </w:rPr>
      </w:pPr>
      <w:r w:rsidRPr="002B0B61">
        <w:rPr>
          <w:sz w:val="20"/>
          <w:szCs w:val="20"/>
        </w:rPr>
        <w:t>Australian Institute of Health and Welfare 2019</w:t>
      </w:r>
      <w:r>
        <w:rPr>
          <w:sz w:val="20"/>
          <w:szCs w:val="20"/>
        </w:rPr>
        <w:t>a</w:t>
      </w:r>
      <w:r w:rsidRPr="002B0B61">
        <w:rPr>
          <w:sz w:val="20"/>
          <w:szCs w:val="20"/>
        </w:rPr>
        <w:t xml:space="preserve">. Alcohol, tobacco &amp; other drugs in Australia. Cat. no. PHE 221. Canberra: AIHW. Viewed 29 August 2019, </w:t>
      </w:r>
      <w:hyperlink r:id="rId56" w:history="1">
        <w:r w:rsidRPr="002B0B61">
          <w:rPr>
            <w:rStyle w:val="Hyperlink"/>
            <w:sz w:val="20"/>
            <w:szCs w:val="20"/>
          </w:rPr>
          <w:t>https://www.aihw.gov.au/reports/alcohol/alcohol-tobacco-other-drugs-australia</w:t>
        </w:r>
      </w:hyperlink>
      <w:r>
        <w:rPr>
          <w:sz w:val="20"/>
          <w:szCs w:val="20"/>
        </w:rPr>
        <w:t xml:space="preserve"> </w:t>
      </w:r>
    </w:p>
    <w:p w14:paraId="3E5C195F" w14:textId="77777777" w:rsidR="0072350F" w:rsidRDefault="0072350F" w:rsidP="006F16B1">
      <w:pPr>
        <w:shd w:val="clear" w:color="auto" w:fill="FFFFFF"/>
        <w:spacing w:line="260" w:lineRule="atLeast"/>
        <w:ind w:left="284" w:hanging="284"/>
        <w:rPr>
          <w:sz w:val="20"/>
          <w:szCs w:val="20"/>
        </w:rPr>
      </w:pPr>
      <w:r>
        <w:rPr>
          <w:sz w:val="20"/>
          <w:szCs w:val="20"/>
        </w:rPr>
        <w:t>Australian Institute of Health and Welfare 2019b. Alcohol and other drug treatment services in Australia 2017–18. Drug treatment series no. 33. Cat. no. HSE 230. Canberra: AIHW.</w:t>
      </w:r>
    </w:p>
    <w:p w14:paraId="6E46285A" w14:textId="77777777" w:rsidR="006F16B1" w:rsidRPr="0070204A" w:rsidRDefault="006F16B1" w:rsidP="006F16B1">
      <w:pPr>
        <w:widowControl w:val="0"/>
        <w:autoSpaceDE w:val="0"/>
        <w:autoSpaceDN w:val="0"/>
        <w:adjustRightInd w:val="0"/>
        <w:spacing w:line="260" w:lineRule="atLeast"/>
        <w:ind w:left="426" w:hanging="426"/>
        <w:rPr>
          <w:sz w:val="20"/>
          <w:szCs w:val="20"/>
        </w:rPr>
      </w:pPr>
      <w:r w:rsidRPr="0070204A">
        <w:rPr>
          <w:rStyle w:val="A3"/>
          <w:rFonts w:eastAsiaTheme="majorEastAsia"/>
          <w:sz w:val="20"/>
          <w:szCs w:val="20"/>
        </w:rPr>
        <w:t>Australian Institute of Health and Welfare (AIHW) 2019</w:t>
      </w:r>
      <w:r>
        <w:rPr>
          <w:rStyle w:val="A3"/>
          <w:rFonts w:eastAsiaTheme="majorEastAsia"/>
          <w:sz w:val="20"/>
          <w:szCs w:val="20"/>
        </w:rPr>
        <w:t>c</w:t>
      </w:r>
      <w:r w:rsidRPr="0070204A">
        <w:rPr>
          <w:rStyle w:val="A3"/>
          <w:rFonts w:eastAsiaTheme="majorEastAsia"/>
          <w:sz w:val="20"/>
          <w:szCs w:val="20"/>
        </w:rPr>
        <w:t>. The health of Australia’s prisoners 2018. Cat. no. PHE 246. Canberra: AIHW.</w:t>
      </w:r>
    </w:p>
    <w:p w14:paraId="32F0C884" w14:textId="4C0A2F3D" w:rsidR="00317F93" w:rsidRPr="00317F93" w:rsidRDefault="00317F93" w:rsidP="00317F93">
      <w:pPr>
        <w:tabs>
          <w:tab w:val="clear" w:pos="567"/>
        </w:tabs>
        <w:autoSpaceDE w:val="0"/>
        <w:autoSpaceDN w:val="0"/>
        <w:adjustRightInd w:val="0"/>
        <w:spacing w:line="260" w:lineRule="atLeast"/>
        <w:ind w:left="284" w:hanging="284"/>
        <w:rPr>
          <w:rFonts w:cs="ArialMT"/>
          <w:sz w:val="20"/>
          <w:szCs w:val="20"/>
          <w:lang w:eastAsia="en-AU"/>
        </w:rPr>
      </w:pPr>
      <w:r w:rsidRPr="00317F93">
        <w:rPr>
          <w:rFonts w:cs="ArialMT"/>
          <w:sz w:val="20"/>
          <w:szCs w:val="20"/>
          <w:lang w:eastAsia="en-AU"/>
        </w:rPr>
        <w:t>Bruno, R., Bucher, E., Ney, L., &amp; Sharman, C. (2019). Tasmanian Drug Trends 2018:</w:t>
      </w:r>
      <w:r>
        <w:rPr>
          <w:rFonts w:cs="ArialMT"/>
          <w:sz w:val="20"/>
          <w:szCs w:val="20"/>
          <w:lang w:eastAsia="en-AU"/>
        </w:rPr>
        <w:t xml:space="preserve"> </w:t>
      </w:r>
      <w:r w:rsidRPr="00317F93">
        <w:rPr>
          <w:rFonts w:cs="ArialMT"/>
          <w:sz w:val="20"/>
          <w:szCs w:val="20"/>
          <w:lang w:eastAsia="en-AU"/>
        </w:rPr>
        <w:t>Key findings from the Illicit Drug Reporting System (IDRS). Sydney, National Drug and Alcohol Research</w:t>
      </w:r>
      <w:r>
        <w:rPr>
          <w:rFonts w:cs="ArialMT"/>
          <w:sz w:val="20"/>
          <w:szCs w:val="20"/>
          <w:lang w:eastAsia="en-AU"/>
        </w:rPr>
        <w:t xml:space="preserve"> </w:t>
      </w:r>
      <w:r w:rsidRPr="00317F93">
        <w:rPr>
          <w:rFonts w:cs="ArialMT"/>
          <w:sz w:val="20"/>
          <w:szCs w:val="20"/>
          <w:lang w:eastAsia="en-AU"/>
        </w:rPr>
        <w:t>Centre, UNSW Sydney.</w:t>
      </w:r>
    </w:p>
    <w:p w14:paraId="5720A99E" w14:textId="5915C343" w:rsidR="00A42E28" w:rsidRPr="00A42E28" w:rsidRDefault="00A42E28" w:rsidP="00317F93">
      <w:pPr>
        <w:tabs>
          <w:tab w:val="clear" w:pos="567"/>
        </w:tabs>
        <w:autoSpaceDE w:val="0"/>
        <w:autoSpaceDN w:val="0"/>
        <w:adjustRightInd w:val="0"/>
        <w:spacing w:line="260" w:lineRule="atLeast"/>
        <w:ind w:left="284" w:hanging="284"/>
        <w:rPr>
          <w:sz w:val="20"/>
          <w:szCs w:val="20"/>
        </w:rPr>
      </w:pPr>
      <w:r w:rsidRPr="00A42E28">
        <w:rPr>
          <w:rFonts w:cs="ArialMT"/>
          <w:sz w:val="20"/>
          <w:szCs w:val="20"/>
          <w:lang w:eastAsia="en-AU"/>
        </w:rPr>
        <w:t xml:space="preserve">Bruno, R, Sharman, C., Ney, L., &amp; Bucher, E. (2019). </w:t>
      </w:r>
      <w:r w:rsidRPr="00A42E28">
        <w:rPr>
          <w:rFonts w:cs="Arial"/>
          <w:i/>
          <w:iCs/>
          <w:sz w:val="20"/>
          <w:szCs w:val="20"/>
          <w:lang w:eastAsia="en-AU"/>
        </w:rPr>
        <w:t>Tasmanian Drug Trends</w:t>
      </w:r>
      <w:r>
        <w:rPr>
          <w:rFonts w:cs="Arial"/>
          <w:i/>
          <w:iCs/>
          <w:sz w:val="20"/>
          <w:szCs w:val="20"/>
          <w:lang w:eastAsia="en-AU"/>
        </w:rPr>
        <w:t xml:space="preserve"> </w:t>
      </w:r>
      <w:r w:rsidRPr="00A42E28">
        <w:rPr>
          <w:rFonts w:cs="Arial"/>
          <w:i/>
          <w:iCs/>
          <w:sz w:val="20"/>
          <w:szCs w:val="20"/>
          <w:lang w:eastAsia="en-AU"/>
        </w:rPr>
        <w:t xml:space="preserve">2018: Key Findings from the Ecstasy and Related Drugs Reporting System (EDRS). </w:t>
      </w:r>
      <w:r w:rsidRPr="00A42E28">
        <w:rPr>
          <w:rFonts w:cs="ArialMT"/>
          <w:sz w:val="20"/>
          <w:szCs w:val="20"/>
          <w:lang w:eastAsia="en-AU"/>
        </w:rPr>
        <w:t>Sydney, National</w:t>
      </w:r>
      <w:r>
        <w:rPr>
          <w:rFonts w:cs="ArialMT"/>
          <w:sz w:val="20"/>
          <w:szCs w:val="20"/>
          <w:lang w:eastAsia="en-AU"/>
        </w:rPr>
        <w:t xml:space="preserve"> </w:t>
      </w:r>
      <w:r w:rsidRPr="00A42E28">
        <w:rPr>
          <w:rFonts w:cs="ArialMT"/>
          <w:sz w:val="20"/>
          <w:szCs w:val="20"/>
          <w:lang w:eastAsia="en-AU"/>
        </w:rPr>
        <w:t>Drug and Alcohol Research Centre, UNSW Sydney.</w:t>
      </w:r>
      <w:r w:rsidRPr="00A42E28">
        <w:rPr>
          <w:sz w:val="20"/>
          <w:szCs w:val="20"/>
        </w:rPr>
        <w:t xml:space="preserve"> </w:t>
      </w:r>
    </w:p>
    <w:p w14:paraId="1486F28B" w14:textId="25A21C33" w:rsidR="00461263" w:rsidRDefault="00461263" w:rsidP="00B04CE7">
      <w:pPr>
        <w:widowControl w:val="0"/>
        <w:spacing w:line="260" w:lineRule="atLeast"/>
        <w:ind w:left="284" w:hanging="284"/>
        <w:rPr>
          <w:sz w:val="20"/>
          <w:szCs w:val="20"/>
        </w:rPr>
      </w:pPr>
      <w:r>
        <w:rPr>
          <w:sz w:val="20"/>
          <w:szCs w:val="20"/>
        </w:rPr>
        <w:t>Bucher, E &amp; Bruno, R. 2018. Trends in Methamphetamine use in Tasmania. Sydney: National Drug and Alcohol Research Centre, university of New South Wales</w:t>
      </w:r>
    </w:p>
    <w:p w14:paraId="18137D10" w14:textId="77777777" w:rsidR="0072350F" w:rsidRPr="00767B80" w:rsidRDefault="0072350F" w:rsidP="006F16B1">
      <w:pPr>
        <w:widowControl w:val="0"/>
        <w:spacing w:line="260" w:lineRule="atLeast"/>
        <w:ind w:left="284" w:hanging="284"/>
        <w:rPr>
          <w:sz w:val="20"/>
          <w:szCs w:val="20"/>
        </w:rPr>
      </w:pPr>
      <w:r w:rsidRPr="00767B80">
        <w:rPr>
          <w:sz w:val="20"/>
          <w:szCs w:val="20"/>
        </w:rPr>
        <w:t>Department of Health and Human Services, 2016. Tasmanian Alcohol Data and Trends Report 2016.</w:t>
      </w:r>
    </w:p>
    <w:p w14:paraId="3EB19BFD" w14:textId="77777777" w:rsidR="0072350F" w:rsidRPr="0014741B" w:rsidRDefault="0072350F" w:rsidP="006F16B1">
      <w:pPr>
        <w:pStyle w:val="EndnoteText"/>
        <w:spacing w:before="120" w:after="120" w:line="260" w:lineRule="atLeast"/>
        <w:ind w:left="284" w:hanging="284"/>
      </w:pPr>
      <w:r w:rsidRPr="0014741B">
        <w:rPr>
          <w:noProof/>
        </w:rPr>
        <w:t>Egerton-Warburton D, Gosbell A, Wadsworth A, Fatovich DM, Richardson DB. Survey of alcohol-related presentations to Australasian emergency departments. The Medical journal of Australia. 2014 Nov 17;201(10):584-7. PubMed PMID: 25390264</w:t>
      </w:r>
    </w:p>
    <w:p w14:paraId="3EBA1632" w14:textId="77777777" w:rsidR="0072350F" w:rsidRDefault="0072350F" w:rsidP="00BD4CC7">
      <w:pPr>
        <w:spacing w:line="260" w:lineRule="atLeast"/>
        <w:ind w:left="284" w:hanging="284"/>
        <w:rPr>
          <w:sz w:val="20"/>
          <w:szCs w:val="20"/>
        </w:rPr>
      </w:pPr>
      <w:bookmarkStart w:id="22" w:name="_Hlk19171383"/>
      <w:r>
        <w:rPr>
          <w:sz w:val="20"/>
          <w:szCs w:val="20"/>
        </w:rPr>
        <w:t xml:space="preserve">Guerin, N., &amp; Gascoyne, C. 2019. </w:t>
      </w:r>
      <w:bookmarkEnd w:id="22"/>
      <w:r>
        <w:rPr>
          <w:sz w:val="20"/>
          <w:szCs w:val="20"/>
        </w:rPr>
        <w:t>ASSAD 2017 Tasmanian Statistics &amp; Trends: Tasmanian Secondary Students’ Use of Tobacco, Alcohol, Over-the-counter Drugs, and Other Substances. Cancer Council Victoria.</w:t>
      </w:r>
    </w:p>
    <w:p w14:paraId="314AAF50" w14:textId="3CD85D8D" w:rsidR="00BD4CC7" w:rsidRPr="00BD4CC7" w:rsidRDefault="00BD4CC7" w:rsidP="00BD4CC7">
      <w:pPr>
        <w:shd w:val="clear" w:color="auto" w:fill="FFFFFF"/>
        <w:spacing w:line="260" w:lineRule="atLeast"/>
        <w:ind w:left="284" w:hanging="284"/>
        <w:rPr>
          <w:sz w:val="20"/>
          <w:szCs w:val="20"/>
        </w:rPr>
      </w:pPr>
      <w:r w:rsidRPr="00BD4CC7">
        <w:rPr>
          <w:sz w:val="20"/>
          <w:szCs w:val="20"/>
        </w:rPr>
        <w:t xml:space="preserve">Hughes, C., </w:t>
      </w:r>
      <w:proofErr w:type="spellStart"/>
      <w:r w:rsidRPr="00BD4CC7">
        <w:rPr>
          <w:sz w:val="20"/>
          <w:szCs w:val="20"/>
        </w:rPr>
        <w:t>Seear</w:t>
      </w:r>
      <w:proofErr w:type="spellEnd"/>
      <w:r w:rsidRPr="00BD4CC7">
        <w:rPr>
          <w:sz w:val="20"/>
          <w:szCs w:val="20"/>
        </w:rPr>
        <w:t xml:space="preserve">, K., Ritter, A. &amp; Mazerolle, L. (2019). Monograph No. 27: Criminal justice responses relating to personal use and possession of illicit drugs: The reach of Australian drug diversion programs and barriers and facilitators to expansion. </w:t>
      </w:r>
      <w:r w:rsidRPr="00BD4CC7">
        <w:rPr>
          <w:i/>
          <w:iCs/>
          <w:sz w:val="20"/>
          <w:szCs w:val="20"/>
        </w:rPr>
        <w:t>DPMP Monograph Series</w:t>
      </w:r>
      <w:r w:rsidRPr="00BD4CC7">
        <w:rPr>
          <w:sz w:val="20"/>
          <w:szCs w:val="20"/>
        </w:rPr>
        <w:t xml:space="preserve">. Sydney: National Drug and Alcohol Research Centre, UNSW Sydney. </w:t>
      </w:r>
      <w:hyperlink r:id="rId57" w:history="1">
        <w:r w:rsidRPr="00BD4CC7">
          <w:rPr>
            <w:rStyle w:val="Hyperlink"/>
            <w:sz w:val="20"/>
            <w:szCs w:val="20"/>
          </w:rPr>
          <w:t>http://doi.org/10.26190/5cca661ce09ce</w:t>
        </w:r>
      </w:hyperlink>
    </w:p>
    <w:p w14:paraId="03F25B7A" w14:textId="6E93A5C0" w:rsidR="006F16B1" w:rsidRDefault="006F16B1" w:rsidP="006F16B1">
      <w:pPr>
        <w:shd w:val="clear" w:color="auto" w:fill="FFFFFF"/>
        <w:spacing w:line="260" w:lineRule="atLeast"/>
        <w:ind w:left="284" w:hanging="284"/>
        <w:rPr>
          <w:sz w:val="20"/>
          <w:szCs w:val="20"/>
        </w:rPr>
      </w:pPr>
      <w:r w:rsidRPr="0070204A">
        <w:rPr>
          <w:sz w:val="20"/>
          <w:szCs w:val="20"/>
        </w:rPr>
        <w:t xml:space="preserve">Miller P, Cox E, Costa B, </w:t>
      </w:r>
      <w:proofErr w:type="spellStart"/>
      <w:r w:rsidRPr="0070204A">
        <w:rPr>
          <w:sz w:val="20"/>
          <w:szCs w:val="20"/>
        </w:rPr>
        <w:t>Mayshak</w:t>
      </w:r>
      <w:proofErr w:type="spellEnd"/>
      <w:r w:rsidRPr="0070204A">
        <w:rPr>
          <w:sz w:val="20"/>
          <w:szCs w:val="20"/>
        </w:rPr>
        <w:t xml:space="preserve"> R, Walker A, </w:t>
      </w:r>
      <w:proofErr w:type="spellStart"/>
      <w:r w:rsidRPr="0070204A">
        <w:rPr>
          <w:sz w:val="20"/>
          <w:szCs w:val="20"/>
        </w:rPr>
        <w:t>Hyder</w:t>
      </w:r>
      <w:proofErr w:type="spellEnd"/>
      <w:r w:rsidRPr="0070204A">
        <w:rPr>
          <w:sz w:val="20"/>
          <w:szCs w:val="20"/>
        </w:rPr>
        <w:t xml:space="preserve"> S, et al. 2016</w:t>
      </w:r>
      <w:r>
        <w:rPr>
          <w:sz w:val="20"/>
          <w:szCs w:val="20"/>
        </w:rPr>
        <w:t>.</w:t>
      </w:r>
      <w:r w:rsidRPr="0070204A">
        <w:rPr>
          <w:sz w:val="20"/>
          <w:szCs w:val="20"/>
        </w:rPr>
        <w:t xml:space="preserve"> </w:t>
      </w:r>
      <w:r w:rsidRPr="0070204A">
        <w:rPr>
          <w:i/>
          <w:iCs/>
          <w:sz w:val="20"/>
          <w:szCs w:val="20"/>
        </w:rPr>
        <w:t>Alcohol/Drug-Involved Family Violence in Australia (ADIVA)</w:t>
      </w:r>
      <w:r w:rsidRPr="0070204A">
        <w:rPr>
          <w:sz w:val="20"/>
          <w:szCs w:val="20"/>
        </w:rPr>
        <w:t xml:space="preserve">. </w:t>
      </w:r>
      <w:r w:rsidRPr="0070204A">
        <w:rPr>
          <w:rFonts w:cs="Raleway"/>
          <w:sz w:val="20"/>
          <w:szCs w:val="20"/>
        </w:rPr>
        <w:t>Research Centre, University of New South Wales.</w:t>
      </w:r>
      <w:r>
        <w:rPr>
          <w:rFonts w:cs="Raleway"/>
          <w:sz w:val="20"/>
          <w:szCs w:val="20"/>
        </w:rPr>
        <w:t xml:space="preserve"> </w:t>
      </w:r>
      <w:r w:rsidRPr="0070204A">
        <w:rPr>
          <w:sz w:val="20"/>
          <w:szCs w:val="20"/>
        </w:rPr>
        <w:t xml:space="preserve">Canberra: National Drug Law </w:t>
      </w:r>
    </w:p>
    <w:p w14:paraId="03AC0C99" w14:textId="77777777" w:rsidR="0072350F" w:rsidRPr="00820EA6" w:rsidRDefault="0072350F" w:rsidP="006F16B1">
      <w:pPr>
        <w:shd w:val="clear" w:color="auto" w:fill="FFFFFF"/>
        <w:spacing w:line="260" w:lineRule="atLeast"/>
        <w:ind w:left="284" w:hanging="284"/>
        <w:rPr>
          <w:rFonts w:cs="Helvetica 45 Light"/>
          <w:color w:val="000000"/>
          <w:sz w:val="20"/>
          <w:szCs w:val="20"/>
        </w:rPr>
      </w:pPr>
      <w:proofErr w:type="spellStart"/>
      <w:r w:rsidRPr="00820EA6">
        <w:rPr>
          <w:rFonts w:cs="Helvetica 45 Light"/>
          <w:color w:val="000000"/>
          <w:sz w:val="20"/>
          <w:szCs w:val="20"/>
        </w:rPr>
        <w:t>Penington</w:t>
      </w:r>
      <w:proofErr w:type="spellEnd"/>
      <w:r w:rsidRPr="00820EA6">
        <w:rPr>
          <w:rFonts w:cs="Helvetica 45 Light"/>
          <w:color w:val="000000"/>
          <w:sz w:val="20"/>
          <w:szCs w:val="20"/>
        </w:rPr>
        <w:t xml:space="preserve"> Institute 2019. Australia’s Annual Overdose Report 2019. Melbourne: </w:t>
      </w:r>
      <w:proofErr w:type="spellStart"/>
      <w:r w:rsidRPr="00820EA6">
        <w:rPr>
          <w:rFonts w:cs="Helvetica 45 Light"/>
          <w:color w:val="000000"/>
          <w:sz w:val="20"/>
          <w:szCs w:val="20"/>
        </w:rPr>
        <w:t>Penington</w:t>
      </w:r>
      <w:proofErr w:type="spellEnd"/>
      <w:r w:rsidRPr="00820EA6">
        <w:rPr>
          <w:rFonts w:cs="Helvetica 45 Light"/>
          <w:color w:val="000000"/>
          <w:sz w:val="20"/>
          <w:szCs w:val="20"/>
        </w:rPr>
        <w:t xml:space="preserve"> Institute </w:t>
      </w:r>
    </w:p>
    <w:p w14:paraId="7A6C02AD" w14:textId="77777777" w:rsidR="006F16B1" w:rsidRPr="0070204A" w:rsidRDefault="006F16B1" w:rsidP="006F16B1">
      <w:pPr>
        <w:pStyle w:val="EndnoteText"/>
        <w:widowControl w:val="0"/>
        <w:spacing w:line="260" w:lineRule="atLeast"/>
        <w:ind w:left="425" w:hanging="425"/>
      </w:pPr>
      <w:r w:rsidRPr="0070204A">
        <w:t xml:space="preserve">State of Victoria. 2016. </w:t>
      </w:r>
      <w:r w:rsidRPr="0070204A">
        <w:rPr>
          <w:i/>
          <w:iCs/>
        </w:rPr>
        <w:t xml:space="preserve">Royal Commission into Family Violence: Report and recommendations, volume III. Parl Paper No 132 (2014–16). </w:t>
      </w:r>
      <w:r w:rsidRPr="0070204A">
        <w:t xml:space="preserve">Melbourne: Victorian Government.  </w:t>
      </w:r>
    </w:p>
    <w:p w14:paraId="1CAF906D" w14:textId="3398A5AC" w:rsidR="0072350F" w:rsidRDefault="0072350F" w:rsidP="006F16B1">
      <w:pPr>
        <w:shd w:val="clear" w:color="auto" w:fill="FFFFFF"/>
        <w:spacing w:line="260" w:lineRule="atLeast"/>
        <w:ind w:left="284" w:hanging="284"/>
        <w:rPr>
          <w:sz w:val="20"/>
          <w:szCs w:val="20"/>
        </w:rPr>
      </w:pPr>
      <w:r w:rsidRPr="00926E28">
        <w:rPr>
          <w:sz w:val="20"/>
          <w:szCs w:val="20"/>
        </w:rPr>
        <w:lastRenderedPageBreak/>
        <w:t>Tasmania Department of Health, 2018</w:t>
      </w:r>
      <w:r>
        <w:rPr>
          <w:sz w:val="20"/>
          <w:szCs w:val="20"/>
        </w:rPr>
        <w:t>.</w:t>
      </w:r>
      <w:r w:rsidRPr="00926E28">
        <w:rPr>
          <w:sz w:val="20"/>
          <w:szCs w:val="20"/>
        </w:rPr>
        <w:t xml:space="preserve"> Council of Obstetric and Paediatric Mortality and Morbidity Annual Report </w:t>
      </w:r>
      <w:r>
        <w:rPr>
          <w:sz w:val="20"/>
          <w:szCs w:val="20"/>
        </w:rPr>
        <w:t>2016.</w:t>
      </w:r>
      <w:r w:rsidRPr="00926E28">
        <w:rPr>
          <w:sz w:val="20"/>
          <w:szCs w:val="20"/>
        </w:rPr>
        <w:t xml:space="preserve"> State of Tasmania, Department of Health</w:t>
      </w:r>
    </w:p>
    <w:p w14:paraId="107A6356" w14:textId="4862793F" w:rsidR="00E56F30" w:rsidRDefault="00C40033" w:rsidP="00E56F30">
      <w:pPr>
        <w:shd w:val="clear" w:color="auto" w:fill="FFFFFF"/>
        <w:spacing w:line="260" w:lineRule="atLeast"/>
        <w:ind w:left="284" w:hanging="284"/>
        <w:rPr>
          <w:sz w:val="20"/>
          <w:szCs w:val="20"/>
        </w:rPr>
      </w:pPr>
      <w:r>
        <w:rPr>
          <w:sz w:val="20"/>
          <w:szCs w:val="20"/>
        </w:rPr>
        <w:t xml:space="preserve">UnitingCare </w:t>
      </w:r>
      <w:proofErr w:type="spellStart"/>
      <w:r>
        <w:rPr>
          <w:sz w:val="20"/>
          <w:szCs w:val="20"/>
        </w:rPr>
        <w:t>ReGen</w:t>
      </w:r>
      <w:proofErr w:type="spellEnd"/>
      <w:r>
        <w:rPr>
          <w:sz w:val="20"/>
          <w:szCs w:val="20"/>
        </w:rPr>
        <w:t xml:space="preserve">, 2014. Methamphetamine treatment: Building on successful strategies to enhance outcomes. </w:t>
      </w:r>
      <w:r w:rsidR="00E56F30">
        <w:rPr>
          <w:sz w:val="20"/>
          <w:szCs w:val="20"/>
        </w:rPr>
        <w:br w:type="page"/>
      </w:r>
    </w:p>
    <w:p w14:paraId="04D249FF" w14:textId="77777777" w:rsidR="003B3388" w:rsidRDefault="003B3388" w:rsidP="00E56F30">
      <w:pPr>
        <w:shd w:val="clear" w:color="auto" w:fill="FFFFFF"/>
        <w:spacing w:line="260" w:lineRule="atLeast"/>
        <w:ind w:left="284" w:hanging="284"/>
        <w:rPr>
          <w:sz w:val="20"/>
          <w:szCs w:val="20"/>
        </w:rPr>
      </w:pPr>
    </w:p>
    <w:sectPr w:rsidR="003B3388" w:rsidSect="007C250C">
      <w:pgSz w:w="11906" w:h="16838" w:code="9"/>
      <w:pgMar w:top="907" w:right="1134"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1253" w14:textId="77777777" w:rsidR="008160F2" w:rsidRDefault="008160F2">
      <w:r>
        <w:separator/>
      </w:r>
    </w:p>
  </w:endnote>
  <w:endnote w:type="continuationSeparator" w:id="0">
    <w:p w14:paraId="0BF0B484" w14:textId="77777777" w:rsidR="008160F2" w:rsidRDefault="00816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Gill Sans MT Pro Medium">
    <w:altName w:val="Gill Sans MT Pro Medium"/>
    <w:panose1 w:val="00000000000000000000"/>
    <w:charset w:val="00"/>
    <w:family w:val="swiss"/>
    <w:notTrueType/>
    <w:pitch w:val="default"/>
    <w:sig w:usb0="00000003" w:usb1="00000000" w:usb2="00000000" w:usb3="00000000" w:csb0="00000001" w:csb1="00000000"/>
  </w:font>
  <w:font w:name="GillSans Light">
    <w:altName w:val="Segoe UI Semi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illSans-Light">
    <w:panose1 w:val="00000000000000000000"/>
    <w:charset w:val="00"/>
    <w:family w:val="swiss"/>
    <w:notTrueType/>
    <w:pitch w:val="default"/>
    <w:sig w:usb0="00000003" w:usb1="00000000" w:usb2="00000000" w:usb3="00000000" w:csb0="00000001" w:csb1="00000000"/>
  </w:font>
  <w:font w:name="PXQRHX+HelveticaNeue">
    <w:altName w:val="Calibri"/>
    <w:panose1 w:val="00000000000000000000"/>
    <w:charset w:val="00"/>
    <w:family w:val="swiss"/>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8070000" w:usb2="00000010" w:usb3="00000000" w:csb0="00020001" w:csb1="00000000"/>
  </w:font>
  <w:font w:name="Arial-ItalicMT">
    <w:panose1 w:val="00000000000000000000"/>
    <w:charset w:val="00"/>
    <w:family w:val="swiss"/>
    <w:notTrueType/>
    <w:pitch w:val="default"/>
    <w:sig w:usb0="00000003" w:usb1="00000000" w:usb2="00000000" w:usb3="00000000" w:csb0="00000001" w:csb1="00000000"/>
  </w:font>
  <w:font w:name="Raleway">
    <w:altName w:val="Trebuchet MS"/>
    <w:panose1 w:val="00000000000000000000"/>
    <w:charset w:val="00"/>
    <w:family w:val="swiss"/>
    <w:notTrueType/>
    <w:pitch w:val="default"/>
    <w:sig w:usb0="00000003" w:usb1="00000000" w:usb2="00000000" w:usb3="00000000" w:csb0="00000001" w:csb1="00000000"/>
  </w:font>
  <w:font w:name="Frutiger-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haroni">
    <w:panose1 w:val="02010803020104030203"/>
    <w:charset w:val="B1"/>
    <w:family w:val="auto"/>
    <w:pitch w:val="variable"/>
    <w:sig w:usb0="00000803" w:usb1="00000000" w:usb2="00000000" w:usb3="00000000" w:csb0="00000021" w:csb1="00000000"/>
  </w:font>
  <w:font w:name="Myriad Pro">
    <w:altName w:val="Myriad Pro"/>
    <w:panose1 w:val="00000000000000000000"/>
    <w:charset w:val="00"/>
    <w:family w:val="swiss"/>
    <w:notTrueType/>
    <w:pitch w:val="default"/>
    <w:sig w:usb0="00000003" w:usb1="00000000" w:usb2="00000000" w:usb3="00000000" w:csb0="00000001" w:csb1="00000000"/>
  </w:font>
  <w:font w:name="Gill Sans MT Pro Light">
    <w:altName w:val="Gill Sans MT Pro Light"/>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26EC" w14:textId="77777777" w:rsidR="004A4A7A" w:rsidRPr="000E2971" w:rsidRDefault="004A4A7A" w:rsidP="00B84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397578"/>
      <w:docPartObj>
        <w:docPartGallery w:val="Page Numbers (Bottom of Page)"/>
        <w:docPartUnique/>
      </w:docPartObj>
    </w:sdtPr>
    <w:sdtEndPr>
      <w:rPr>
        <w:noProof/>
      </w:rPr>
    </w:sdtEndPr>
    <w:sdtContent>
      <w:p w14:paraId="7412E1F1" w14:textId="77777777" w:rsidR="004A4A7A" w:rsidRDefault="004A4A7A">
        <w:pPr>
          <w:pStyle w:val="Footer"/>
        </w:pPr>
        <w:r>
          <w:fldChar w:fldCharType="begin"/>
        </w:r>
        <w:r>
          <w:instrText xml:space="preserve"> PAGE   \* MERGEFORMAT </w:instrText>
        </w:r>
        <w:r>
          <w:fldChar w:fldCharType="separate"/>
        </w:r>
        <w:r>
          <w:rPr>
            <w:noProof/>
          </w:rPr>
          <w:t>21</w:t>
        </w:r>
        <w:r>
          <w:rPr>
            <w:noProof/>
          </w:rPr>
          <w:fldChar w:fldCharType="end"/>
        </w:r>
      </w:p>
    </w:sdtContent>
  </w:sdt>
  <w:p w14:paraId="1372C387" w14:textId="77777777" w:rsidR="004A4A7A" w:rsidRPr="00D64460" w:rsidRDefault="004A4A7A" w:rsidP="00B84DE6">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966FD" w14:textId="77777777" w:rsidR="008160F2" w:rsidRDefault="008160F2">
      <w:r>
        <w:separator/>
      </w:r>
    </w:p>
  </w:footnote>
  <w:footnote w:type="continuationSeparator" w:id="0">
    <w:p w14:paraId="4B147F74" w14:textId="77777777" w:rsidR="008160F2" w:rsidRDefault="008160F2">
      <w:r>
        <w:continuationSeparator/>
      </w:r>
    </w:p>
  </w:footnote>
  <w:footnote w:id="1">
    <w:p w14:paraId="2B5AF007" w14:textId="77777777" w:rsidR="004A4A7A" w:rsidRPr="00036896" w:rsidRDefault="004A4A7A" w:rsidP="007D2E3F">
      <w:pPr>
        <w:spacing w:after="0" w:line="240" w:lineRule="auto"/>
        <w:rPr>
          <w:rFonts w:cs="Myriad Pro"/>
          <w:color w:val="000000"/>
          <w:sz w:val="18"/>
          <w:szCs w:val="18"/>
        </w:rPr>
      </w:pPr>
      <w:r w:rsidRPr="00036896">
        <w:rPr>
          <w:rStyle w:val="FootnoteReference"/>
          <w:sz w:val="18"/>
          <w:szCs w:val="18"/>
        </w:rPr>
        <w:footnoteRef/>
      </w:r>
      <w:r w:rsidRPr="00036896">
        <w:rPr>
          <w:sz w:val="18"/>
          <w:szCs w:val="18"/>
        </w:rPr>
        <w:t xml:space="preserve"> </w:t>
      </w:r>
      <w:r w:rsidRPr="00036896">
        <w:rPr>
          <w:rFonts w:cs="Myriad Pro"/>
          <w:color w:val="000000"/>
          <w:sz w:val="18"/>
          <w:szCs w:val="18"/>
        </w:rPr>
        <w:t>On a single occasion of drinking, the risk of alcohol-related injury increases with the amount consumed. For healthy men and women, drinking no more than four standard drinks on a single occasion reduces the risk of alcohol-related injury arising from that occasion. This report mainly presents the proportion of people exceeding the single occasion risk guidelines once a month or more often (at least monthly).</w:t>
      </w:r>
    </w:p>
  </w:footnote>
  <w:footnote w:id="2">
    <w:p w14:paraId="5AB6FBC8" w14:textId="77777777" w:rsidR="004A4A7A" w:rsidRPr="00036896" w:rsidRDefault="004A4A7A" w:rsidP="007D2E3F">
      <w:pPr>
        <w:pStyle w:val="FootnoteText"/>
        <w:spacing w:after="0"/>
        <w:ind w:left="0"/>
        <w:rPr>
          <w:sz w:val="18"/>
          <w:szCs w:val="18"/>
        </w:rPr>
      </w:pPr>
      <w:r w:rsidRPr="00036896">
        <w:rPr>
          <w:rStyle w:val="FootnoteReference"/>
          <w:sz w:val="18"/>
          <w:szCs w:val="18"/>
        </w:rPr>
        <w:footnoteRef/>
      </w:r>
      <w:r w:rsidRPr="00036896">
        <w:rPr>
          <w:sz w:val="18"/>
          <w:szCs w:val="18"/>
        </w:rPr>
        <w:t xml:space="preserve"> Used at least 1 of 16 illicit drugs in 2016, noting the number and type of illicit drug used varied between 2010 and 2016.</w:t>
      </w:r>
    </w:p>
  </w:footnote>
  <w:footnote w:id="3">
    <w:p w14:paraId="38E60D2F" w14:textId="77777777" w:rsidR="004A4A7A" w:rsidRPr="00036896" w:rsidRDefault="004A4A7A" w:rsidP="007D2E3F">
      <w:pPr>
        <w:pStyle w:val="FootnoteText"/>
        <w:tabs>
          <w:tab w:val="clear" w:pos="567"/>
        </w:tabs>
        <w:spacing w:after="0"/>
        <w:ind w:left="0"/>
        <w:rPr>
          <w:sz w:val="18"/>
          <w:szCs w:val="18"/>
        </w:rPr>
      </w:pPr>
      <w:r w:rsidRPr="00036896">
        <w:rPr>
          <w:rStyle w:val="FootnoteReference"/>
          <w:sz w:val="18"/>
          <w:szCs w:val="18"/>
        </w:rPr>
        <w:footnoteRef/>
      </w:r>
      <w:r w:rsidRPr="00036896">
        <w:rPr>
          <w:sz w:val="18"/>
          <w:szCs w:val="18"/>
        </w:rPr>
        <w:t xml:space="preserve"> OTC refers to paracetamol, aspirin and other non-opioid over-the-counter (OTC) pain killers/analgesics.</w:t>
      </w:r>
    </w:p>
  </w:footnote>
  <w:footnote w:id="4">
    <w:p w14:paraId="6C94A2A2" w14:textId="77777777" w:rsidR="004A4A7A" w:rsidRPr="007D2E3F" w:rsidRDefault="004A4A7A" w:rsidP="007D2E3F">
      <w:pPr>
        <w:pStyle w:val="Default"/>
        <w:rPr>
          <w:sz w:val="20"/>
          <w:szCs w:val="20"/>
        </w:rPr>
      </w:pPr>
      <w:r w:rsidRPr="00306537">
        <w:rPr>
          <w:rStyle w:val="FootnoteReference"/>
          <w:sz w:val="20"/>
          <w:szCs w:val="20"/>
        </w:rPr>
        <w:footnoteRef/>
      </w:r>
      <w:r w:rsidRPr="00306537">
        <w:rPr>
          <w:sz w:val="20"/>
          <w:szCs w:val="20"/>
        </w:rPr>
        <w:t xml:space="preserve"> Painkillers/analgesics such as ‘Disprin’, ‘Panadol’ or ‘Nurofen’ </w:t>
      </w:r>
    </w:p>
  </w:footnote>
  <w:footnote w:id="5">
    <w:p w14:paraId="1D300389" w14:textId="77777777" w:rsidR="004A4A7A" w:rsidRPr="00D62AC6" w:rsidRDefault="004A4A7A" w:rsidP="007D2E3F">
      <w:pPr>
        <w:pStyle w:val="Default"/>
        <w:rPr>
          <w:sz w:val="20"/>
          <w:szCs w:val="20"/>
        </w:rPr>
      </w:pPr>
      <w:r w:rsidRPr="00D62AC6">
        <w:rPr>
          <w:rStyle w:val="FootnoteReference"/>
          <w:sz w:val="20"/>
          <w:szCs w:val="20"/>
        </w:rPr>
        <w:footnoteRef/>
      </w:r>
      <w:r w:rsidRPr="00D62AC6">
        <w:rPr>
          <w:sz w:val="20"/>
          <w:szCs w:val="20"/>
        </w:rPr>
        <w:t xml:space="preserve"> Had consumed five or more alcoholic drinks on any day in the past week </w:t>
      </w:r>
    </w:p>
    <w:p w14:paraId="56045AC9" w14:textId="77777777" w:rsidR="004A4A7A" w:rsidRDefault="004A4A7A" w:rsidP="007D2E3F">
      <w:pPr>
        <w:pStyle w:val="FootnoteText"/>
      </w:pPr>
    </w:p>
  </w:footnote>
  <w:footnote w:id="6">
    <w:p w14:paraId="001BBDD2" w14:textId="77777777" w:rsidR="004A4A7A" w:rsidRPr="00084475" w:rsidRDefault="004A4A7A" w:rsidP="007D2E3F">
      <w:pPr>
        <w:pStyle w:val="Default"/>
        <w:rPr>
          <w:sz w:val="20"/>
          <w:szCs w:val="20"/>
        </w:rPr>
      </w:pPr>
      <w:r w:rsidRPr="00084475">
        <w:rPr>
          <w:rStyle w:val="FootnoteReference"/>
          <w:sz w:val="20"/>
          <w:szCs w:val="20"/>
        </w:rPr>
        <w:footnoteRef/>
      </w:r>
      <w:r w:rsidRPr="00084475">
        <w:rPr>
          <w:sz w:val="20"/>
          <w:szCs w:val="20"/>
        </w:rPr>
        <w:t xml:space="preserve"> Sleeping tablets, tranquilisers, sedatives or benzodiazepines, such as valium, mogadon, diazepam, temazepam (mazzies, vallies, moggies, jellies), serepax (serries) or rohypnol (rohies, barbs), for non-medical reasons </w:t>
      </w:r>
    </w:p>
  </w:footnote>
  <w:footnote w:id="7">
    <w:p w14:paraId="434DCAE0" w14:textId="77777777" w:rsidR="004A4A7A" w:rsidRPr="00084475" w:rsidRDefault="004A4A7A" w:rsidP="007D2E3F">
      <w:pPr>
        <w:pStyle w:val="Default"/>
        <w:rPr>
          <w:sz w:val="20"/>
          <w:szCs w:val="20"/>
        </w:rPr>
      </w:pPr>
      <w:r w:rsidRPr="00084475">
        <w:rPr>
          <w:rStyle w:val="FootnoteReference"/>
          <w:sz w:val="20"/>
          <w:szCs w:val="20"/>
        </w:rPr>
        <w:footnoteRef/>
      </w:r>
      <w:r w:rsidRPr="00084475">
        <w:rPr>
          <w:sz w:val="20"/>
          <w:szCs w:val="20"/>
        </w:rPr>
        <w:t xml:space="preserve"> Deliberately sniffed (inhaled) from spray cans or sniffed things like glue, paint, petrol or thinners in order to get high or for the way it makes you feel </w:t>
      </w:r>
    </w:p>
    <w:p w14:paraId="1A6CC5F3" w14:textId="77777777" w:rsidR="004A4A7A" w:rsidRPr="00084475" w:rsidRDefault="004A4A7A" w:rsidP="007D2E3F">
      <w:pPr>
        <w:pStyle w:val="FootnoteText"/>
      </w:pPr>
    </w:p>
  </w:footnote>
  <w:footnote w:id="8">
    <w:p w14:paraId="59F2C395" w14:textId="4A74B7B2" w:rsidR="004A4A7A" w:rsidRPr="00F15E74" w:rsidRDefault="004A4A7A" w:rsidP="007D2E3F">
      <w:pPr>
        <w:autoSpaceDE w:val="0"/>
        <w:autoSpaceDN w:val="0"/>
        <w:adjustRightInd w:val="0"/>
        <w:spacing w:line="260" w:lineRule="atLeast"/>
        <w:rPr>
          <w:sz w:val="20"/>
          <w:szCs w:val="20"/>
        </w:rPr>
      </w:pPr>
      <w:r w:rsidRPr="00F15E74">
        <w:rPr>
          <w:rStyle w:val="FootnoteReference"/>
          <w:sz w:val="20"/>
          <w:szCs w:val="20"/>
        </w:rPr>
        <w:footnoteRef/>
      </w:r>
      <w:r w:rsidRPr="00F15E74">
        <w:rPr>
          <w:sz w:val="20"/>
          <w:szCs w:val="20"/>
        </w:rPr>
        <w:t xml:space="preserve"> Alcohol is a teratogen that </w:t>
      </w:r>
      <w:r>
        <w:rPr>
          <w:sz w:val="20"/>
          <w:szCs w:val="20"/>
        </w:rPr>
        <w:t>can</w:t>
      </w:r>
      <w:r w:rsidRPr="00F15E74">
        <w:rPr>
          <w:sz w:val="20"/>
          <w:szCs w:val="20"/>
        </w:rPr>
        <w:t xml:space="preserve"> have deleterious effects on fetal development and birth outcomes. Exposure of the fetus to alcohol may result in a spectrum of adverse effects known as </w:t>
      </w:r>
      <w:r w:rsidRPr="00F15E74">
        <w:rPr>
          <w:i/>
          <w:iCs/>
          <w:sz w:val="20"/>
          <w:szCs w:val="20"/>
        </w:rPr>
        <w:t xml:space="preserve">Fetal Alcohol Spectrum Disorders </w:t>
      </w:r>
      <w:r w:rsidRPr="00F15E74">
        <w:rPr>
          <w:sz w:val="20"/>
          <w:szCs w:val="20"/>
        </w:rPr>
        <w:t>(FASD).</w:t>
      </w:r>
    </w:p>
    <w:p w14:paraId="51460FD5" w14:textId="77777777" w:rsidR="004A4A7A" w:rsidRDefault="004A4A7A" w:rsidP="007D2E3F">
      <w:pPr>
        <w:pStyle w:val="FootnoteText"/>
      </w:pPr>
    </w:p>
  </w:footnote>
  <w:footnote w:id="9">
    <w:p w14:paraId="02D79C4E" w14:textId="29C83D01" w:rsidR="004A4A7A" w:rsidRDefault="004A4A7A" w:rsidP="00976B5F">
      <w:pPr>
        <w:pStyle w:val="FootnoteText"/>
        <w:tabs>
          <w:tab w:val="clear" w:pos="567"/>
          <w:tab w:val="left" w:pos="0"/>
        </w:tabs>
        <w:ind w:left="0"/>
      </w:pPr>
      <w:r>
        <w:rPr>
          <w:rStyle w:val="FootnoteReference"/>
        </w:rPr>
        <w:footnoteRef/>
      </w:r>
      <w:r>
        <w:t xml:space="preserve"> Based on the 2016 ABS Census</w:t>
      </w:r>
    </w:p>
  </w:footnote>
  <w:footnote w:id="10">
    <w:p w14:paraId="07DA3D04" w14:textId="77777777" w:rsidR="004A4A7A" w:rsidRPr="00EB2971" w:rsidRDefault="004A4A7A" w:rsidP="007D2E3F">
      <w:pPr>
        <w:pStyle w:val="Pa5"/>
        <w:spacing w:after="140"/>
        <w:rPr>
          <w:rFonts w:ascii="Gill Sans MT" w:hAnsi="Gill Sans MT"/>
          <w:sz w:val="20"/>
          <w:szCs w:val="20"/>
        </w:rPr>
      </w:pPr>
      <w:r w:rsidRPr="00EB2971">
        <w:rPr>
          <w:rStyle w:val="FootnoteReference"/>
          <w:sz w:val="20"/>
          <w:szCs w:val="20"/>
        </w:rPr>
        <w:footnoteRef/>
      </w:r>
      <w:r w:rsidRPr="00EB2971">
        <w:rPr>
          <w:rFonts w:ascii="Gill Sans MT" w:hAnsi="Gill Sans MT"/>
          <w:sz w:val="20"/>
          <w:szCs w:val="20"/>
        </w:rPr>
        <w:t xml:space="preserve"> </w:t>
      </w:r>
      <w:r w:rsidRPr="00EB2971">
        <w:rPr>
          <w:rFonts w:ascii="Gill Sans MT" w:hAnsi="Gill Sans MT" w:cs="PXQRHX+HelveticaNeue"/>
          <w:color w:val="000000"/>
          <w:sz w:val="20"/>
          <w:szCs w:val="20"/>
        </w:rPr>
        <w:t>Unintentional drug-induced deaths include drug overdoses, wrong drugs given or taken in error, and accidental poisoning due to drugs. Drug-induced deaths deemed homicidal, suicidal or of undetermined intent are not included in unintentional drug-induced deaths.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C523E" w14:textId="65E9721C" w:rsidR="004A4A7A" w:rsidRPr="00CE52EE" w:rsidRDefault="004A4A7A" w:rsidP="00CE52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ECEBC" w14:textId="47CB9661" w:rsidR="004A4A7A" w:rsidRPr="00BF56D4" w:rsidRDefault="004A4A7A" w:rsidP="00BF56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0712C" w14:textId="74AE8321" w:rsidR="004A4A7A" w:rsidRDefault="004A4A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41115" w14:textId="7AF5CE14" w:rsidR="004A4A7A" w:rsidRDefault="004A4A7A">
    <w:pPr>
      <w:pStyle w:val="Header"/>
    </w:pPr>
    <w:r>
      <w:rPr>
        <w:noProof/>
      </w:rPr>
      <mc:AlternateContent>
        <mc:Choice Requires="wps">
          <w:drawing>
            <wp:inline distT="0" distB="0" distL="0" distR="0" wp14:anchorId="1BBBB94A" wp14:editId="0E232ACC">
              <wp:extent cx="7936865" cy="689610"/>
              <wp:effectExtent l="0" t="0" r="0" b="0"/>
              <wp:docPr id="2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36865" cy="6896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2B26F9" w14:textId="77777777" w:rsidR="004A4A7A" w:rsidRDefault="004A4A7A" w:rsidP="00554D68">
                          <w:pPr>
                            <w:jc w:val="center"/>
                            <w:rPr>
                              <w:sz w:val="24"/>
                              <w:szCs w:val="24"/>
                            </w:rPr>
                          </w:pPr>
                          <w:bookmarkStart w:id="11" w:name="_GoBack"/>
                          <w:r w:rsidRPr="00E948C0">
                            <w:rPr>
                              <w:color w:val="000000" w:themeColor="text1"/>
                              <w:sz w:val="2"/>
                              <w:szCs w:val="2"/>
                              <w14:textFill>
                                <w14:solidFill>
                                  <w14:schemeClr w14:val="tx1">
                                    <w14:alpha w14:val="50000"/>
                                  </w14:schemeClr>
                                </w14:solidFill>
                              </w14:textFill>
                            </w:rPr>
                            <w:t>CONFIDENTIAL DRAFT</w:t>
                          </w:r>
                          <w:bookmarkEnd w:id="11"/>
                        </w:p>
                      </w:txbxContent>
                    </wps:txbx>
                    <wps:bodyPr wrap="square" numCol="1" fromWordArt="1">
                      <a:prstTxWarp prst="textPlain">
                        <a:avLst>
                          <a:gd name="adj" fmla="val 50000"/>
                        </a:avLst>
                      </a:prstTxWarp>
                      <a:spAutoFit/>
                    </wps:bodyPr>
                  </wps:wsp>
                </a:graphicData>
              </a:graphic>
            </wp:inline>
          </w:drawing>
        </mc:Choice>
        <mc:Fallback>
          <w:pict>
            <v:shapetype w14:anchorId="1BBBB94A" id="_x0000_t202" coordsize="21600,21600" o:spt="202" path="m,l,21600r21600,l21600,xe">
              <v:stroke joinstyle="miter"/>
              <v:path gradientshapeok="t" o:connecttype="rect"/>
            </v:shapetype>
            <v:shape id="WordArt 14" o:spid="_x0000_s1026" type="#_x0000_t202" style="width:624.95pt;height:54.3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" filled="f" stroked="f">
              <v:stroke joinstyle="round"/>
              <o:lock v:ext="edit" shapetype="t"/>
              <v:textbox style="mso-fit-shape-to-text:t">
                <w:txbxContent>
                  <w:p w14:paraId="382B26F9" w14:textId="77777777" w:rsidR="004A4A7A" w:rsidRDefault="004A4A7A" w:rsidP="00554D68">
                    <w:pPr>
                      <w:jc w:val="center"/>
                      <w:rPr>
                        <w:sz w:val="24"/>
                        <w:szCs w:val="24"/>
                      </w:rPr>
                    </w:pPr>
                    <w:bookmarkStart w:id="12" w:name="_GoBack"/>
                    <w:r w:rsidRPr="00E948C0">
                      <w:rPr>
                        <w:color w:val="000000" w:themeColor="text1"/>
                        <w:sz w:val="2"/>
                        <w:szCs w:val="2"/>
                        <w14:textFill>
                          <w14:solidFill>
                            <w14:schemeClr w14:val="tx1">
                              <w14:alpha w14:val="50000"/>
                            </w14:schemeClr>
                          </w14:solidFill>
                        </w14:textFill>
                      </w:rPr>
                      <w:t>CONFIDENTIAL DRAFT</w:t>
                    </w:r>
                    <w:bookmarkEnd w:id="12"/>
                  </w:p>
                </w:txbxContent>
              </v:textbox>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1C81F" w14:textId="1FB6188C" w:rsidR="004A4A7A" w:rsidRDefault="004A4A7A" w:rsidP="00643B47">
    <w:pPr>
      <w:pStyle w:val="Header"/>
      <w:tabs>
        <w:tab w:val="right" w:pos="9360"/>
      </w:tabs>
    </w:pPr>
  </w:p>
  <w:p w14:paraId="4377083B" w14:textId="77777777" w:rsidR="004A4A7A" w:rsidRPr="0012611E" w:rsidRDefault="004A4A7A" w:rsidP="00643B47">
    <w:pPr>
      <w:pStyle w:val="Header"/>
      <w:tabs>
        <w:tab w:val="right" w:pos="936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40755" w14:textId="049CC1FE" w:rsidR="004A4A7A" w:rsidRDefault="004A4A7A">
    <w:pPr>
      <w:pStyle w:val="Header"/>
    </w:pPr>
    <w:r>
      <w:rPr>
        <w:noProof/>
      </w:rPr>
      <mc:AlternateContent>
        <mc:Choice Requires="wps">
          <w:drawing>
            <wp:anchor distT="0" distB="0" distL="114300" distR="114300" simplePos="0" relativeHeight="251683840" behindDoc="1" locked="0" layoutInCell="0" allowOverlap="1" wp14:anchorId="5FF65B1E" wp14:editId="08460BAB">
              <wp:simplePos x="0" y="0"/>
              <wp:positionH relativeFrom="margin">
                <wp:align>center</wp:align>
              </wp:positionH>
              <wp:positionV relativeFrom="margin">
                <wp:align>center</wp:align>
              </wp:positionV>
              <wp:extent cx="7936865" cy="689610"/>
              <wp:effectExtent l="0" t="2657475" r="0" b="2472690"/>
              <wp:wrapNone/>
              <wp:docPr id="7"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36865" cy="6896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FC1744" w14:textId="77777777" w:rsidR="004A4A7A" w:rsidRDefault="004A4A7A" w:rsidP="00554D68">
                          <w:pPr>
                            <w:jc w:val="center"/>
                            <w:rPr>
                              <w:sz w:val="24"/>
                              <w:szCs w:val="24"/>
                            </w:rPr>
                          </w:pPr>
                          <w:r>
                            <w:rPr>
                              <w:color w:val="C0C0C0"/>
                              <w:sz w:val="2"/>
                              <w:szCs w:val="2"/>
                              <w14:textFill>
                                <w14:solidFill>
                                  <w14:srgbClr w14:val="C0C0C0">
                                    <w14:alpha w14:val="50000"/>
                                  </w14:srgbClr>
                                </w14:solidFill>
                              </w14:textFill>
                            </w:rPr>
                            <w:t>CONFIDENTIAL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F65B1E" id="_x0000_t202" coordsize="21600,21600" o:spt="202" path="m,l,21600r21600,l21600,xe">
              <v:stroke joinstyle="miter"/>
              <v:path gradientshapeok="t" o:connecttype="rect"/>
            </v:shapetype>
            <v:shape id="WordArt 13" o:spid="_x0000_s1027" type="#_x0000_t202" style="position:absolute;left:0;text-align:left;margin-left:0;margin-top:0;width:624.95pt;height:54.3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" o:allowincell="f" filled="f" stroked="f">
              <v:stroke joinstyle="round"/>
              <o:lock v:ext="edit" shapetype="t"/>
              <v:textbox style="mso-fit-shape-to-text:t">
                <w:txbxContent>
                  <w:p w14:paraId="0AFC1744" w14:textId="77777777" w:rsidR="004A4A7A" w:rsidRDefault="004A4A7A" w:rsidP="00554D68">
                    <w:pPr>
                      <w:jc w:val="center"/>
                      <w:rPr>
                        <w:sz w:val="24"/>
                        <w:szCs w:val="24"/>
                      </w:rPr>
                    </w:pPr>
                    <w:r>
                      <w:rPr>
                        <w:color w:val="C0C0C0"/>
                        <w:sz w:val="2"/>
                        <w:szCs w:val="2"/>
                        <w14:textFill>
                          <w14:solidFill>
                            <w14:srgbClr w14:val="C0C0C0">
                              <w14:alpha w14:val="50000"/>
                            </w14:srgbClr>
                          </w14:solidFill>
                        </w14:textFill>
                      </w:rPr>
                      <w:t>CONFIDENTIAL 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C14E6" w14:textId="64FD515D" w:rsidR="004A4A7A" w:rsidRDefault="004A4A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BA27" w14:textId="65274143" w:rsidR="004A4A7A" w:rsidRDefault="004A4A7A" w:rsidP="00643B47">
    <w:pPr>
      <w:pStyle w:val="Header"/>
      <w:tabs>
        <w:tab w:val="right" w:pos="9360"/>
      </w:tabs>
    </w:pPr>
  </w:p>
  <w:p w14:paraId="118D1C4C" w14:textId="77777777" w:rsidR="004A4A7A" w:rsidRPr="0012611E" w:rsidRDefault="004A4A7A" w:rsidP="00643B47">
    <w:pPr>
      <w:pStyle w:val="Header"/>
      <w:tabs>
        <w:tab w:val="right" w:pos="936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B3264" w14:textId="53364B8D" w:rsidR="004A4A7A" w:rsidRDefault="004A4A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FEF8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9CECF0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35852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42B47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4707CE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044D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9"/>
    <w:multiLevelType w:val="singleLevel"/>
    <w:tmpl w:val="9BAE0AE8"/>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43A594E"/>
    <w:multiLevelType w:val="multilevel"/>
    <w:tmpl w:val="843A2244"/>
    <w:lvl w:ilvl="0">
      <w:start w:val="1"/>
      <w:numFmt w:val="decimal"/>
      <w:pStyle w:val="Heading1numbered"/>
      <w:lvlText w:val="%1"/>
      <w:lvlJc w:val="left"/>
      <w:pPr>
        <w:tabs>
          <w:tab w:val="num" w:pos="851"/>
        </w:tabs>
        <w:ind w:left="851" w:hanging="851"/>
      </w:pPr>
      <w:rPr>
        <w:rFonts w:hint="default"/>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851"/>
        </w:tabs>
        <w:ind w:left="851" w:hanging="851"/>
      </w:pPr>
      <w:rPr>
        <w:rFonts w:hint="default"/>
      </w:rPr>
    </w:lvl>
    <w:lvl w:ilvl="3">
      <w:start w:val="1"/>
      <w:numFmt w:val="decimal"/>
      <w:pStyle w:val="Heading4numbered"/>
      <w:lvlText w:val="%1.%2.%3.%4"/>
      <w:lvlJc w:val="left"/>
      <w:pPr>
        <w:tabs>
          <w:tab w:val="num" w:pos="851"/>
        </w:tabs>
        <w:ind w:left="851"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46846BD"/>
    <w:multiLevelType w:val="hybridMultilevel"/>
    <w:tmpl w:val="1B9CB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3D232E"/>
    <w:multiLevelType w:val="hybridMultilevel"/>
    <w:tmpl w:val="AA62EF7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5780747"/>
    <w:multiLevelType w:val="hybridMultilevel"/>
    <w:tmpl w:val="A01A73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604BC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CBC45F6"/>
    <w:multiLevelType w:val="hybridMultilevel"/>
    <w:tmpl w:val="5936D186"/>
    <w:lvl w:ilvl="0" w:tplc="F286839A">
      <w:start w:val="1"/>
      <w:numFmt w:val="lowerRoman"/>
      <w:lvlRestart w:val="0"/>
      <w:pStyle w:val="RomanNumerals"/>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E3E0B87"/>
    <w:multiLevelType w:val="hybridMultilevel"/>
    <w:tmpl w:val="F3BE6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DA6EC7"/>
    <w:multiLevelType w:val="hybridMultilevel"/>
    <w:tmpl w:val="28908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AA130A"/>
    <w:multiLevelType w:val="multilevel"/>
    <w:tmpl w:val="28D01C36"/>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105531E5"/>
    <w:multiLevelType w:val="hybridMultilevel"/>
    <w:tmpl w:val="CC14D46A"/>
    <w:lvl w:ilvl="0" w:tplc="0C090003">
      <w:start w:val="1"/>
      <w:numFmt w:val="bullet"/>
      <w:lvlText w:val="o"/>
      <w:lvlJc w:val="left"/>
      <w:pPr>
        <w:ind w:left="720"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A316A3"/>
    <w:multiLevelType w:val="hybridMultilevel"/>
    <w:tmpl w:val="56B83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173D235A"/>
    <w:multiLevelType w:val="hybridMultilevel"/>
    <w:tmpl w:val="6B18F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8E5FC6"/>
    <w:multiLevelType w:val="hybridMultilevel"/>
    <w:tmpl w:val="151C2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E55534"/>
    <w:multiLevelType w:val="multilevel"/>
    <w:tmpl w:val="B2C01814"/>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2" w15:restartNumberingAfterBreak="0">
    <w:nsid w:val="1C261D9B"/>
    <w:multiLevelType w:val="hybridMultilevel"/>
    <w:tmpl w:val="EF9014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1F7E6F4B"/>
    <w:multiLevelType w:val="hybridMultilevel"/>
    <w:tmpl w:val="BC5EDD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0344BD"/>
    <w:multiLevelType w:val="hybridMultilevel"/>
    <w:tmpl w:val="6F8853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B82BCA"/>
    <w:multiLevelType w:val="hybridMultilevel"/>
    <w:tmpl w:val="349CB2C2"/>
    <w:lvl w:ilvl="0" w:tplc="4B2E8800">
      <w:start w:val="1"/>
      <w:numFmt w:val="decimal"/>
      <w:pStyle w:val="ListNumb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8CD745A"/>
    <w:multiLevelType w:val="hybridMultilevel"/>
    <w:tmpl w:val="ED324CE6"/>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AEE2419"/>
    <w:multiLevelType w:val="hybridMultilevel"/>
    <w:tmpl w:val="0AE41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922FD3"/>
    <w:multiLevelType w:val="hybridMultilevel"/>
    <w:tmpl w:val="ED349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D507F4F"/>
    <w:multiLevelType w:val="hybridMultilevel"/>
    <w:tmpl w:val="74F697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E018D7"/>
    <w:multiLevelType w:val="hybridMultilevel"/>
    <w:tmpl w:val="3E1ACDE0"/>
    <w:lvl w:ilvl="0" w:tplc="DE70F65C">
      <w:start w:val="1"/>
      <w:numFmt w:val="bullet"/>
      <w:pStyle w:val="Table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07373DA"/>
    <w:multiLevelType w:val="multilevel"/>
    <w:tmpl w:val="A82414AA"/>
    <w:lvl w:ilvl="0">
      <w:start w:val="1"/>
      <w:numFmt w:val="bullet"/>
      <w:lvlText w:val="o"/>
      <w:lvlJc w:val="left"/>
      <w:pPr>
        <w:tabs>
          <w:tab w:val="num" w:pos="567"/>
        </w:tabs>
        <w:ind w:left="567" w:hanging="567"/>
      </w:pPr>
      <w:rPr>
        <w:rFonts w:ascii="Courier New" w:hAnsi="Courier New" w:cs="Courier New"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324E1312"/>
    <w:multiLevelType w:val="hybridMultilevel"/>
    <w:tmpl w:val="B772310E"/>
    <w:lvl w:ilvl="0" w:tplc="E61C78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33A77A4"/>
    <w:multiLevelType w:val="hybridMultilevel"/>
    <w:tmpl w:val="298E99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3C6420"/>
    <w:multiLevelType w:val="multilevel"/>
    <w:tmpl w:val="B62E73B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627B58"/>
    <w:multiLevelType w:val="hybridMultilevel"/>
    <w:tmpl w:val="86D61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7311002"/>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37B02B76"/>
    <w:multiLevelType w:val="hybridMultilevel"/>
    <w:tmpl w:val="0BDAF5FE"/>
    <w:lvl w:ilvl="0" w:tplc="E61C78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5435E9"/>
    <w:multiLevelType w:val="hybridMultilevel"/>
    <w:tmpl w:val="E24E4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8DF126A"/>
    <w:multiLevelType w:val="hybridMultilevel"/>
    <w:tmpl w:val="569638B0"/>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0" w15:restartNumberingAfterBreak="0">
    <w:nsid w:val="393F5B4A"/>
    <w:multiLevelType w:val="hybridMultilevel"/>
    <w:tmpl w:val="F7143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4E0A21"/>
    <w:multiLevelType w:val="hybridMultilevel"/>
    <w:tmpl w:val="93BE46B0"/>
    <w:lvl w:ilvl="0" w:tplc="E61C783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42282C15"/>
    <w:multiLevelType w:val="hybridMultilevel"/>
    <w:tmpl w:val="DE0E4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2404DB5"/>
    <w:multiLevelType w:val="hybridMultilevel"/>
    <w:tmpl w:val="A4689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40957BE"/>
    <w:multiLevelType w:val="hybridMultilevel"/>
    <w:tmpl w:val="96A60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2E760E"/>
    <w:multiLevelType w:val="hybridMultilevel"/>
    <w:tmpl w:val="B9B2867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CFB0E82"/>
    <w:multiLevelType w:val="hybridMultilevel"/>
    <w:tmpl w:val="D8D4F798"/>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7" w15:restartNumberingAfterBreak="0">
    <w:nsid w:val="4E7A7214"/>
    <w:multiLevelType w:val="hybridMultilevel"/>
    <w:tmpl w:val="AB741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0F502D1"/>
    <w:multiLevelType w:val="hybridMultilevel"/>
    <w:tmpl w:val="889AF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27646A8"/>
    <w:multiLevelType w:val="hybridMultilevel"/>
    <w:tmpl w:val="B19C3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753FCA"/>
    <w:multiLevelType w:val="hybridMultilevel"/>
    <w:tmpl w:val="CA4C5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6A8215A"/>
    <w:multiLevelType w:val="hybridMultilevel"/>
    <w:tmpl w:val="4DE80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511490"/>
    <w:multiLevelType w:val="hybridMultilevel"/>
    <w:tmpl w:val="0C44F8BC"/>
    <w:lvl w:ilvl="0" w:tplc="0C09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5939227F"/>
    <w:multiLevelType w:val="hybridMultilevel"/>
    <w:tmpl w:val="ADEE14A2"/>
    <w:lvl w:ilvl="0" w:tplc="0C090001">
      <w:start w:val="1"/>
      <w:numFmt w:val="bullet"/>
      <w:lvlText w:val=""/>
      <w:lvlJc w:val="left"/>
      <w:pPr>
        <w:ind w:left="720" w:hanging="360"/>
      </w:pPr>
      <w:rPr>
        <w:rFonts w:ascii="Symbol" w:hAnsi="Symbol" w:hint="default"/>
      </w:rPr>
    </w:lvl>
    <w:lvl w:ilvl="1" w:tplc="75781884">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A210047"/>
    <w:multiLevelType w:val="hybridMultilevel"/>
    <w:tmpl w:val="ACB641A6"/>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A8B403B"/>
    <w:multiLevelType w:val="multilevel"/>
    <w:tmpl w:val="8BACE8D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5B4125AF"/>
    <w:multiLevelType w:val="hybridMultilevel"/>
    <w:tmpl w:val="48DC97CA"/>
    <w:lvl w:ilvl="0" w:tplc="C02E2BDE">
      <w:start w:val="1"/>
      <w:numFmt w:val="bullet"/>
      <w:pStyle w:val="ListBullet3"/>
      <w:lvlText w:val="-"/>
      <w:lvlJc w:val="left"/>
      <w:pPr>
        <w:ind w:left="643" w:hanging="360"/>
      </w:pPr>
      <w:rPr>
        <w:rFonts w:ascii="Courier New" w:hAnsi="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57" w15:restartNumberingAfterBreak="0">
    <w:nsid w:val="5EB47A5E"/>
    <w:multiLevelType w:val="hybridMultilevel"/>
    <w:tmpl w:val="869EF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F09354D"/>
    <w:multiLevelType w:val="hybridMultilevel"/>
    <w:tmpl w:val="2C4A95B0"/>
    <w:lvl w:ilvl="0" w:tplc="4970B9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5F69E7"/>
    <w:multiLevelType w:val="hybridMultilevel"/>
    <w:tmpl w:val="3D6CA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1EF55A6"/>
    <w:multiLevelType w:val="multilevel"/>
    <w:tmpl w:val="8F6EDB16"/>
    <w:lvl w:ilvl="0">
      <w:start w:val="1"/>
      <w:numFmt w:val="bullet"/>
      <w:pStyle w:val="BulletedIndentedafterNumber"/>
      <w:lvlText w:val=""/>
      <w:lvlJc w:val="left"/>
      <w:pPr>
        <w:tabs>
          <w:tab w:val="num" w:pos="1134"/>
        </w:tabs>
        <w:ind w:left="1134" w:hanging="567"/>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61" w15:restartNumberingAfterBreak="0">
    <w:nsid w:val="640C6674"/>
    <w:multiLevelType w:val="hybridMultilevel"/>
    <w:tmpl w:val="9B20BAE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4C93040"/>
    <w:multiLevelType w:val="hybridMultilevel"/>
    <w:tmpl w:val="4404E26A"/>
    <w:lvl w:ilvl="0" w:tplc="2A185E8A">
      <w:start w:val="1"/>
      <w:numFmt w:val="lowerLetter"/>
      <w:pStyle w:val="Lettered"/>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3" w15:restartNumberingAfterBreak="0">
    <w:nsid w:val="66DD751D"/>
    <w:multiLevelType w:val="hybridMultilevel"/>
    <w:tmpl w:val="C27ED04C"/>
    <w:lvl w:ilvl="0" w:tplc="9D38F4E6">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64" w15:restartNumberingAfterBreak="0">
    <w:nsid w:val="684B562F"/>
    <w:multiLevelType w:val="hybridMultilevel"/>
    <w:tmpl w:val="2C5A0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2B65D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6D6B797A"/>
    <w:multiLevelType w:val="hybridMultilevel"/>
    <w:tmpl w:val="FD8A1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E93471D"/>
    <w:multiLevelType w:val="multilevel"/>
    <w:tmpl w:val="2C82EB0E"/>
    <w:lvl w:ilvl="0">
      <w:start w:val="1"/>
      <w:numFmt w:val="decimal"/>
      <w:lvlText w:val="%1."/>
      <w:lvlJc w:val="left"/>
      <w:pPr>
        <w:tabs>
          <w:tab w:val="num" w:pos="567"/>
        </w:tabs>
        <w:ind w:left="567" w:hanging="567"/>
      </w:pPr>
      <w:rPr>
        <w:rFonts w:hint="default"/>
      </w:rPr>
    </w:lvl>
    <w:lvl w:ilvl="1">
      <w:start w:val="1"/>
      <w:numFmt w:val="decimal"/>
      <w:pStyle w:val="DocumentMap"/>
      <w:lvlText w:val="%1.%2"/>
      <w:lvlJc w:val="left"/>
      <w:pPr>
        <w:tabs>
          <w:tab w:val="num" w:pos="1134"/>
        </w:tabs>
        <w:ind w:left="1134" w:hanging="567"/>
      </w:pPr>
      <w:rPr>
        <w:rFonts w:hint="default"/>
      </w:rPr>
    </w:lvl>
    <w:lvl w:ilvl="2">
      <w:start w:val="1"/>
      <w:numFmt w:val="decimal"/>
      <w:lvlText w:val="%2.%1.%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68" w15:restartNumberingAfterBreak="0">
    <w:nsid w:val="6EA578DA"/>
    <w:multiLevelType w:val="hybridMultilevel"/>
    <w:tmpl w:val="E6DE892A"/>
    <w:lvl w:ilvl="0" w:tplc="63623E7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EB26D76"/>
    <w:multiLevelType w:val="hybridMultilevel"/>
    <w:tmpl w:val="46FE00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0B656EC"/>
    <w:multiLevelType w:val="multilevel"/>
    <w:tmpl w:val="96FCE0DE"/>
    <w:lvl w:ilvl="0">
      <w:start w:val="1"/>
      <w:numFmt w:val="bullet"/>
      <w:pStyle w:val="BulletedListLevel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71" w15:restartNumberingAfterBreak="0">
    <w:nsid w:val="73C05714"/>
    <w:multiLevelType w:val="hybridMultilevel"/>
    <w:tmpl w:val="D0A49AA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4CF7CC7"/>
    <w:multiLevelType w:val="hybridMultilevel"/>
    <w:tmpl w:val="4C1065DE"/>
    <w:lvl w:ilvl="0" w:tplc="DB8892E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8605F01"/>
    <w:multiLevelType w:val="hybridMultilevel"/>
    <w:tmpl w:val="961AE86C"/>
    <w:lvl w:ilvl="0" w:tplc="DC729CA8">
      <w:start w:val="1"/>
      <w:numFmt w:val="decimal"/>
      <w:pStyle w:val="Recommendation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78A407B8"/>
    <w:multiLevelType w:val="hybridMultilevel"/>
    <w:tmpl w:val="A51E0B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BB22563"/>
    <w:multiLevelType w:val="hybridMultilevel"/>
    <w:tmpl w:val="17A0D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C517918"/>
    <w:multiLevelType w:val="multilevel"/>
    <w:tmpl w:val="79CE316E"/>
    <w:lvl w:ilvl="0">
      <w:start w:val="1"/>
      <w:numFmt w:val="decimal"/>
      <w:pStyle w:val="NumberedList"/>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77" w15:restartNumberingAfterBreak="0">
    <w:nsid w:val="7D197E0E"/>
    <w:multiLevelType w:val="hybridMultilevel"/>
    <w:tmpl w:val="5FD033BA"/>
    <w:lvl w:ilvl="0" w:tplc="0C090001">
      <w:start w:val="1"/>
      <w:numFmt w:val="bullet"/>
      <w:lvlText w:val=""/>
      <w:lvlJc w:val="left"/>
      <w:pPr>
        <w:ind w:left="630" w:hanging="360"/>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78" w15:restartNumberingAfterBreak="0">
    <w:nsid w:val="7E136D85"/>
    <w:multiLevelType w:val="hybridMultilevel"/>
    <w:tmpl w:val="49025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7"/>
  </w:num>
  <w:num w:numId="2">
    <w:abstractNumId w:val="62"/>
  </w:num>
  <w:num w:numId="3">
    <w:abstractNumId w:val="12"/>
  </w:num>
  <w:num w:numId="4">
    <w:abstractNumId w:val="5"/>
  </w:num>
  <w:num w:numId="5">
    <w:abstractNumId w:val="4"/>
  </w:num>
  <w:num w:numId="6">
    <w:abstractNumId w:val="3"/>
  </w:num>
  <w:num w:numId="7">
    <w:abstractNumId w:val="2"/>
  </w:num>
  <w:num w:numId="8">
    <w:abstractNumId w:val="1"/>
  </w:num>
  <w:num w:numId="9">
    <w:abstractNumId w:val="0"/>
  </w:num>
  <w:num w:numId="10">
    <w:abstractNumId w:val="6"/>
  </w:num>
  <w:num w:numId="11">
    <w:abstractNumId w:val="60"/>
  </w:num>
  <w:num w:numId="12">
    <w:abstractNumId w:val="18"/>
  </w:num>
  <w:num w:numId="13">
    <w:abstractNumId w:val="21"/>
  </w:num>
  <w:num w:numId="14">
    <w:abstractNumId w:val="70"/>
  </w:num>
  <w:num w:numId="15">
    <w:abstractNumId w:val="7"/>
  </w:num>
  <w:num w:numId="16">
    <w:abstractNumId w:val="76"/>
  </w:num>
  <w:num w:numId="17">
    <w:abstractNumId w:val="73"/>
  </w:num>
  <w:num w:numId="18">
    <w:abstractNumId w:val="11"/>
  </w:num>
  <w:num w:numId="19">
    <w:abstractNumId w:val="65"/>
  </w:num>
  <w:num w:numId="20">
    <w:abstractNumId w:val="36"/>
  </w:num>
  <w:num w:numId="21">
    <w:abstractNumId w:val="30"/>
  </w:num>
  <w:num w:numId="22">
    <w:abstractNumId w:val="63"/>
  </w:num>
  <w:num w:numId="23">
    <w:abstractNumId w:val="56"/>
  </w:num>
  <w:num w:numId="24">
    <w:abstractNumId w:val="25"/>
  </w:num>
  <w:num w:numId="25">
    <w:abstractNumId w:val="64"/>
  </w:num>
  <w:num w:numId="26">
    <w:abstractNumId w:val="43"/>
  </w:num>
  <w:num w:numId="27">
    <w:abstractNumId w:val="48"/>
  </w:num>
  <w:num w:numId="28">
    <w:abstractNumId w:val="47"/>
  </w:num>
  <w:num w:numId="29">
    <w:abstractNumId w:val="8"/>
  </w:num>
  <w:num w:numId="30">
    <w:abstractNumId w:val="31"/>
  </w:num>
  <w:num w:numId="31">
    <w:abstractNumId w:val="55"/>
  </w:num>
  <w:num w:numId="32">
    <w:abstractNumId w:val="50"/>
  </w:num>
  <w:num w:numId="33">
    <w:abstractNumId w:val="59"/>
  </w:num>
  <w:num w:numId="34">
    <w:abstractNumId w:val="74"/>
  </w:num>
  <w:num w:numId="35">
    <w:abstractNumId w:val="13"/>
  </w:num>
  <w:num w:numId="36">
    <w:abstractNumId w:val="68"/>
  </w:num>
  <w:num w:numId="37">
    <w:abstractNumId w:val="16"/>
  </w:num>
  <w:num w:numId="38">
    <w:abstractNumId w:val="38"/>
  </w:num>
  <w:num w:numId="39">
    <w:abstractNumId w:val="29"/>
  </w:num>
  <w:num w:numId="40">
    <w:abstractNumId w:val="66"/>
  </w:num>
  <w:num w:numId="41">
    <w:abstractNumId w:val="26"/>
  </w:num>
  <w:num w:numId="42">
    <w:abstractNumId w:val="54"/>
  </w:num>
  <w:num w:numId="43">
    <w:abstractNumId w:val="39"/>
  </w:num>
  <w:num w:numId="44">
    <w:abstractNumId w:val="40"/>
  </w:num>
  <w:num w:numId="45">
    <w:abstractNumId w:val="10"/>
  </w:num>
  <w:num w:numId="46">
    <w:abstractNumId w:val="45"/>
  </w:num>
  <w:num w:numId="47">
    <w:abstractNumId w:val="72"/>
  </w:num>
  <w:num w:numId="48">
    <w:abstractNumId w:val="46"/>
  </w:num>
  <w:num w:numId="49">
    <w:abstractNumId w:val="58"/>
  </w:num>
  <w:num w:numId="50">
    <w:abstractNumId w:val="32"/>
  </w:num>
  <w:num w:numId="51">
    <w:abstractNumId w:val="41"/>
  </w:num>
  <w:num w:numId="52">
    <w:abstractNumId w:val="35"/>
  </w:num>
  <w:num w:numId="53">
    <w:abstractNumId w:val="28"/>
  </w:num>
  <w:num w:numId="54">
    <w:abstractNumId w:val="14"/>
  </w:num>
  <w:num w:numId="55">
    <w:abstractNumId w:val="9"/>
  </w:num>
  <w:num w:numId="56">
    <w:abstractNumId w:val="52"/>
  </w:num>
  <w:num w:numId="57">
    <w:abstractNumId w:val="51"/>
  </w:num>
  <w:num w:numId="58">
    <w:abstractNumId w:val="78"/>
  </w:num>
  <w:num w:numId="59">
    <w:abstractNumId w:val="33"/>
  </w:num>
  <w:num w:numId="60">
    <w:abstractNumId w:val="23"/>
  </w:num>
  <w:num w:numId="61">
    <w:abstractNumId w:val="44"/>
  </w:num>
  <w:num w:numId="62">
    <w:abstractNumId w:val="20"/>
  </w:num>
  <w:num w:numId="63">
    <w:abstractNumId w:val="75"/>
  </w:num>
  <w:num w:numId="64">
    <w:abstractNumId w:val="77"/>
  </w:num>
  <w:num w:numId="65">
    <w:abstractNumId w:val="17"/>
  </w:num>
  <w:num w:numId="66">
    <w:abstractNumId w:val="15"/>
  </w:num>
  <w:num w:numId="67">
    <w:abstractNumId w:val="37"/>
  </w:num>
  <w:num w:numId="68">
    <w:abstractNumId w:val="71"/>
  </w:num>
  <w:num w:numId="69">
    <w:abstractNumId w:val="34"/>
  </w:num>
  <w:num w:numId="70">
    <w:abstractNumId w:val="27"/>
  </w:num>
  <w:num w:numId="71">
    <w:abstractNumId w:val="22"/>
  </w:num>
  <w:num w:numId="72">
    <w:abstractNumId w:val="49"/>
  </w:num>
  <w:num w:numId="73">
    <w:abstractNumId w:val="69"/>
  </w:num>
  <w:num w:numId="74">
    <w:abstractNumId w:val="61"/>
  </w:num>
  <w:num w:numId="75">
    <w:abstractNumId w:val="24"/>
  </w:num>
  <w:num w:numId="76">
    <w:abstractNumId w:val="19"/>
  </w:num>
  <w:num w:numId="77">
    <w:abstractNumId w:val="42"/>
  </w:num>
  <w:num w:numId="78">
    <w:abstractNumId w:val="57"/>
  </w:num>
  <w:num w:numId="79">
    <w:abstractNumId w:val="5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C"/>
    <w:rsid w:val="00001E5A"/>
    <w:rsid w:val="00002C32"/>
    <w:rsid w:val="00006745"/>
    <w:rsid w:val="00007B9D"/>
    <w:rsid w:val="000103F0"/>
    <w:rsid w:val="00012FE4"/>
    <w:rsid w:val="00015EEE"/>
    <w:rsid w:val="000222CA"/>
    <w:rsid w:val="00023BAB"/>
    <w:rsid w:val="000268D0"/>
    <w:rsid w:val="00027355"/>
    <w:rsid w:val="0003037E"/>
    <w:rsid w:val="0003242B"/>
    <w:rsid w:val="00040986"/>
    <w:rsid w:val="00043514"/>
    <w:rsid w:val="00043B5E"/>
    <w:rsid w:val="00046153"/>
    <w:rsid w:val="00053254"/>
    <w:rsid w:val="000540C7"/>
    <w:rsid w:val="00056C99"/>
    <w:rsid w:val="0006047D"/>
    <w:rsid w:val="00063320"/>
    <w:rsid w:val="00063DCA"/>
    <w:rsid w:val="00064D26"/>
    <w:rsid w:val="00065D10"/>
    <w:rsid w:val="0007506B"/>
    <w:rsid w:val="00077AA3"/>
    <w:rsid w:val="00084D71"/>
    <w:rsid w:val="000953BB"/>
    <w:rsid w:val="000A0B62"/>
    <w:rsid w:val="000B3069"/>
    <w:rsid w:val="000B4537"/>
    <w:rsid w:val="000B619B"/>
    <w:rsid w:val="000B7E2A"/>
    <w:rsid w:val="000C403B"/>
    <w:rsid w:val="000C6D19"/>
    <w:rsid w:val="000D0F0E"/>
    <w:rsid w:val="000D4BD3"/>
    <w:rsid w:val="000D54FE"/>
    <w:rsid w:val="000D6AD0"/>
    <w:rsid w:val="000E18CF"/>
    <w:rsid w:val="000E2971"/>
    <w:rsid w:val="000E6121"/>
    <w:rsid w:val="000F087E"/>
    <w:rsid w:val="000F4682"/>
    <w:rsid w:val="000F522D"/>
    <w:rsid w:val="000F7981"/>
    <w:rsid w:val="00100B43"/>
    <w:rsid w:val="001033B4"/>
    <w:rsid w:val="00104541"/>
    <w:rsid w:val="00104A78"/>
    <w:rsid w:val="00104BC7"/>
    <w:rsid w:val="0010670A"/>
    <w:rsid w:val="00107CB6"/>
    <w:rsid w:val="00112CB2"/>
    <w:rsid w:val="001165D9"/>
    <w:rsid w:val="001176EA"/>
    <w:rsid w:val="00120503"/>
    <w:rsid w:val="00122EA3"/>
    <w:rsid w:val="00123920"/>
    <w:rsid w:val="00125096"/>
    <w:rsid w:val="0012611E"/>
    <w:rsid w:val="001261A3"/>
    <w:rsid w:val="00133E5F"/>
    <w:rsid w:val="00140DEA"/>
    <w:rsid w:val="00143D64"/>
    <w:rsid w:val="00143F81"/>
    <w:rsid w:val="00144090"/>
    <w:rsid w:val="0014670A"/>
    <w:rsid w:val="0014770E"/>
    <w:rsid w:val="00150E24"/>
    <w:rsid w:val="00154930"/>
    <w:rsid w:val="00155E71"/>
    <w:rsid w:val="00156887"/>
    <w:rsid w:val="00160645"/>
    <w:rsid w:val="00161DAA"/>
    <w:rsid w:val="0016269B"/>
    <w:rsid w:val="00163563"/>
    <w:rsid w:val="00175DF9"/>
    <w:rsid w:val="00176115"/>
    <w:rsid w:val="00177770"/>
    <w:rsid w:val="00180C41"/>
    <w:rsid w:val="001851F6"/>
    <w:rsid w:val="00185343"/>
    <w:rsid w:val="00196884"/>
    <w:rsid w:val="00197AFB"/>
    <w:rsid w:val="001A7C06"/>
    <w:rsid w:val="001B176C"/>
    <w:rsid w:val="001B38CF"/>
    <w:rsid w:val="001B65C6"/>
    <w:rsid w:val="001C1FC4"/>
    <w:rsid w:val="001C493F"/>
    <w:rsid w:val="001C5A3C"/>
    <w:rsid w:val="001C72EA"/>
    <w:rsid w:val="001D1900"/>
    <w:rsid w:val="001D3B94"/>
    <w:rsid w:val="001D460C"/>
    <w:rsid w:val="001D512B"/>
    <w:rsid w:val="001D6CC9"/>
    <w:rsid w:val="001E2F71"/>
    <w:rsid w:val="001E3C8F"/>
    <w:rsid w:val="001E614C"/>
    <w:rsid w:val="001F16F0"/>
    <w:rsid w:val="001F25D2"/>
    <w:rsid w:val="002046CA"/>
    <w:rsid w:val="002050CA"/>
    <w:rsid w:val="00211507"/>
    <w:rsid w:val="00211E32"/>
    <w:rsid w:val="002164E5"/>
    <w:rsid w:val="0022495A"/>
    <w:rsid w:val="002329B4"/>
    <w:rsid w:val="00240294"/>
    <w:rsid w:val="00251035"/>
    <w:rsid w:val="00253BE8"/>
    <w:rsid w:val="00260218"/>
    <w:rsid w:val="00261BDC"/>
    <w:rsid w:val="00265A90"/>
    <w:rsid w:val="00266A5B"/>
    <w:rsid w:val="00266C19"/>
    <w:rsid w:val="00270E3F"/>
    <w:rsid w:val="002714FE"/>
    <w:rsid w:val="00280DD8"/>
    <w:rsid w:val="0028255F"/>
    <w:rsid w:val="00292EC6"/>
    <w:rsid w:val="00293231"/>
    <w:rsid w:val="002A316C"/>
    <w:rsid w:val="002A3AE0"/>
    <w:rsid w:val="002A6C60"/>
    <w:rsid w:val="002B0715"/>
    <w:rsid w:val="002B1DE4"/>
    <w:rsid w:val="002B1E6F"/>
    <w:rsid w:val="002B3050"/>
    <w:rsid w:val="002B3078"/>
    <w:rsid w:val="002B481D"/>
    <w:rsid w:val="002B5297"/>
    <w:rsid w:val="002C4689"/>
    <w:rsid w:val="002C5818"/>
    <w:rsid w:val="002C6EEA"/>
    <w:rsid w:val="002D0082"/>
    <w:rsid w:val="002D11D2"/>
    <w:rsid w:val="002D61CD"/>
    <w:rsid w:val="002D6AED"/>
    <w:rsid w:val="002D749E"/>
    <w:rsid w:val="002F0CF3"/>
    <w:rsid w:val="002F13DD"/>
    <w:rsid w:val="002F27E3"/>
    <w:rsid w:val="002F41E4"/>
    <w:rsid w:val="00304FAF"/>
    <w:rsid w:val="00306FEC"/>
    <w:rsid w:val="00307CDF"/>
    <w:rsid w:val="00310953"/>
    <w:rsid w:val="00313B3A"/>
    <w:rsid w:val="00317F15"/>
    <w:rsid w:val="00317F93"/>
    <w:rsid w:val="0032195B"/>
    <w:rsid w:val="00323863"/>
    <w:rsid w:val="00332371"/>
    <w:rsid w:val="0033630C"/>
    <w:rsid w:val="00337402"/>
    <w:rsid w:val="003407D2"/>
    <w:rsid w:val="003414F7"/>
    <w:rsid w:val="00341965"/>
    <w:rsid w:val="00342243"/>
    <w:rsid w:val="0034401B"/>
    <w:rsid w:val="00346235"/>
    <w:rsid w:val="00354270"/>
    <w:rsid w:val="00357071"/>
    <w:rsid w:val="00357ABF"/>
    <w:rsid w:val="00363089"/>
    <w:rsid w:val="003634C1"/>
    <w:rsid w:val="003640FF"/>
    <w:rsid w:val="00364229"/>
    <w:rsid w:val="00364387"/>
    <w:rsid w:val="003644BC"/>
    <w:rsid w:val="003713D1"/>
    <w:rsid w:val="00377115"/>
    <w:rsid w:val="003810C5"/>
    <w:rsid w:val="00382AA5"/>
    <w:rsid w:val="00383EAD"/>
    <w:rsid w:val="00385473"/>
    <w:rsid w:val="003862CC"/>
    <w:rsid w:val="00390B37"/>
    <w:rsid w:val="003926B2"/>
    <w:rsid w:val="00394DDC"/>
    <w:rsid w:val="00396206"/>
    <w:rsid w:val="003A6AEE"/>
    <w:rsid w:val="003B3388"/>
    <w:rsid w:val="003B4A24"/>
    <w:rsid w:val="003B6060"/>
    <w:rsid w:val="003B61A8"/>
    <w:rsid w:val="003B719B"/>
    <w:rsid w:val="003C33FE"/>
    <w:rsid w:val="003D2E57"/>
    <w:rsid w:val="003E23A1"/>
    <w:rsid w:val="003E2CBD"/>
    <w:rsid w:val="003E2D97"/>
    <w:rsid w:val="003E39F0"/>
    <w:rsid w:val="003E4CAD"/>
    <w:rsid w:val="003F1529"/>
    <w:rsid w:val="00401155"/>
    <w:rsid w:val="0040564A"/>
    <w:rsid w:val="00410E61"/>
    <w:rsid w:val="00411F7E"/>
    <w:rsid w:val="004134FA"/>
    <w:rsid w:val="00417B77"/>
    <w:rsid w:val="004219E0"/>
    <w:rsid w:val="00422A89"/>
    <w:rsid w:val="00422CCF"/>
    <w:rsid w:val="0043653F"/>
    <w:rsid w:val="00436FCC"/>
    <w:rsid w:val="00442025"/>
    <w:rsid w:val="00444AAA"/>
    <w:rsid w:val="004452E5"/>
    <w:rsid w:val="00452884"/>
    <w:rsid w:val="004558BC"/>
    <w:rsid w:val="00456151"/>
    <w:rsid w:val="00461263"/>
    <w:rsid w:val="00462B3A"/>
    <w:rsid w:val="004647FE"/>
    <w:rsid w:val="004657DA"/>
    <w:rsid w:val="0047374F"/>
    <w:rsid w:val="00474750"/>
    <w:rsid w:val="00475C48"/>
    <w:rsid w:val="004764E2"/>
    <w:rsid w:val="004769C8"/>
    <w:rsid w:val="0047766A"/>
    <w:rsid w:val="00490C01"/>
    <w:rsid w:val="004928DB"/>
    <w:rsid w:val="00497558"/>
    <w:rsid w:val="0049788B"/>
    <w:rsid w:val="004A17DA"/>
    <w:rsid w:val="004A3E90"/>
    <w:rsid w:val="004A4A7A"/>
    <w:rsid w:val="004A4B0D"/>
    <w:rsid w:val="004A693C"/>
    <w:rsid w:val="004A6DFA"/>
    <w:rsid w:val="004B1BE5"/>
    <w:rsid w:val="004B7751"/>
    <w:rsid w:val="004B7D7F"/>
    <w:rsid w:val="004C207E"/>
    <w:rsid w:val="004C2577"/>
    <w:rsid w:val="004C744B"/>
    <w:rsid w:val="004D1259"/>
    <w:rsid w:val="004D33B8"/>
    <w:rsid w:val="004D39E0"/>
    <w:rsid w:val="004E3198"/>
    <w:rsid w:val="004E368D"/>
    <w:rsid w:val="004F6478"/>
    <w:rsid w:val="00505ADA"/>
    <w:rsid w:val="005074E9"/>
    <w:rsid w:val="00507E15"/>
    <w:rsid w:val="00510F4A"/>
    <w:rsid w:val="00513012"/>
    <w:rsid w:val="00514C69"/>
    <w:rsid w:val="00517E64"/>
    <w:rsid w:val="00521C3D"/>
    <w:rsid w:val="0052215D"/>
    <w:rsid w:val="00524402"/>
    <w:rsid w:val="00524999"/>
    <w:rsid w:val="005257A6"/>
    <w:rsid w:val="005308BD"/>
    <w:rsid w:val="0053274C"/>
    <w:rsid w:val="00551B98"/>
    <w:rsid w:val="005533C3"/>
    <w:rsid w:val="0055364A"/>
    <w:rsid w:val="00553F97"/>
    <w:rsid w:val="00554D68"/>
    <w:rsid w:val="005559C2"/>
    <w:rsid w:val="00556B08"/>
    <w:rsid w:val="00556C05"/>
    <w:rsid w:val="00557EB1"/>
    <w:rsid w:val="00560B01"/>
    <w:rsid w:val="00560E23"/>
    <w:rsid w:val="00572D93"/>
    <w:rsid w:val="0057412D"/>
    <w:rsid w:val="00575966"/>
    <w:rsid w:val="00580383"/>
    <w:rsid w:val="005879E9"/>
    <w:rsid w:val="00591688"/>
    <w:rsid w:val="00592C7A"/>
    <w:rsid w:val="005A10CE"/>
    <w:rsid w:val="005A41BF"/>
    <w:rsid w:val="005A64B9"/>
    <w:rsid w:val="005A7213"/>
    <w:rsid w:val="005B1C7D"/>
    <w:rsid w:val="005C636C"/>
    <w:rsid w:val="005D12AF"/>
    <w:rsid w:val="005D1C4C"/>
    <w:rsid w:val="005D2421"/>
    <w:rsid w:val="005D4197"/>
    <w:rsid w:val="005D54AD"/>
    <w:rsid w:val="005D6AE4"/>
    <w:rsid w:val="005E4FBF"/>
    <w:rsid w:val="005E6383"/>
    <w:rsid w:val="005F0172"/>
    <w:rsid w:val="005F0232"/>
    <w:rsid w:val="005F50BD"/>
    <w:rsid w:val="005F6BC7"/>
    <w:rsid w:val="005F7C71"/>
    <w:rsid w:val="00600246"/>
    <w:rsid w:val="00610E07"/>
    <w:rsid w:val="0061108E"/>
    <w:rsid w:val="006128EA"/>
    <w:rsid w:val="0061368B"/>
    <w:rsid w:val="0061556D"/>
    <w:rsid w:val="00615ACC"/>
    <w:rsid w:val="00617EE3"/>
    <w:rsid w:val="00620056"/>
    <w:rsid w:val="006352EB"/>
    <w:rsid w:val="0063635A"/>
    <w:rsid w:val="0064359F"/>
    <w:rsid w:val="00643B47"/>
    <w:rsid w:val="00643DF2"/>
    <w:rsid w:val="00644482"/>
    <w:rsid w:val="006475AD"/>
    <w:rsid w:val="00647D0F"/>
    <w:rsid w:val="00653A3C"/>
    <w:rsid w:val="006547D1"/>
    <w:rsid w:val="00656FAB"/>
    <w:rsid w:val="006576C2"/>
    <w:rsid w:val="00661227"/>
    <w:rsid w:val="00661317"/>
    <w:rsid w:val="00664173"/>
    <w:rsid w:val="00665239"/>
    <w:rsid w:val="00671D55"/>
    <w:rsid w:val="00685CEA"/>
    <w:rsid w:val="006904B2"/>
    <w:rsid w:val="00693932"/>
    <w:rsid w:val="006A09D3"/>
    <w:rsid w:val="006A0CBC"/>
    <w:rsid w:val="006B1366"/>
    <w:rsid w:val="006B43A8"/>
    <w:rsid w:val="006B554E"/>
    <w:rsid w:val="006B5EF7"/>
    <w:rsid w:val="006B5F87"/>
    <w:rsid w:val="006B64D9"/>
    <w:rsid w:val="006C26FB"/>
    <w:rsid w:val="006C415A"/>
    <w:rsid w:val="006D01A3"/>
    <w:rsid w:val="006D58E1"/>
    <w:rsid w:val="006D5CFC"/>
    <w:rsid w:val="006E1668"/>
    <w:rsid w:val="006F16B1"/>
    <w:rsid w:val="006F4813"/>
    <w:rsid w:val="006F6924"/>
    <w:rsid w:val="006F7697"/>
    <w:rsid w:val="00702DDE"/>
    <w:rsid w:val="00704AE6"/>
    <w:rsid w:val="00711818"/>
    <w:rsid w:val="00713F16"/>
    <w:rsid w:val="00721D69"/>
    <w:rsid w:val="0072327B"/>
    <w:rsid w:val="0072350F"/>
    <w:rsid w:val="007246FB"/>
    <w:rsid w:val="00725140"/>
    <w:rsid w:val="007311FA"/>
    <w:rsid w:val="00731550"/>
    <w:rsid w:val="007316EB"/>
    <w:rsid w:val="00740E2E"/>
    <w:rsid w:val="00747FBC"/>
    <w:rsid w:val="00750DA3"/>
    <w:rsid w:val="00752316"/>
    <w:rsid w:val="007527A8"/>
    <w:rsid w:val="00753D71"/>
    <w:rsid w:val="00756C54"/>
    <w:rsid w:val="00760B16"/>
    <w:rsid w:val="007709FE"/>
    <w:rsid w:val="00772DC9"/>
    <w:rsid w:val="007730D3"/>
    <w:rsid w:val="0077580C"/>
    <w:rsid w:val="00786736"/>
    <w:rsid w:val="00792E1D"/>
    <w:rsid w:val="00794662"/>
    <w:rsid w:val="00795BB4"/>
    <w:rsid w:val="007A2612"/>
    <w:rsid w:val="007A2A21"/>
    <w:rsid w:val="007A31A4"/>
    <w:rsid w:val="007B145E"/>
    <w:rsid w:val="007B281D"/>
    <w:rsid w:val="007B4D70"/>
    <w:rsid w:val="007B4DB5"/>
    <w:rsid w:val="007B7383"/>
    <w:rsid w:val="007C250C"/>
    <w:rsid w:val="007C5BEB"/>
    <w:rsid w:val="007D0C39"/>
    <w:rsid w:val="007D181B"/>
    <w:rsid w:val="007D2E3F"/>
    <w:rsid w:val="007D41AD"/>
    <w:rsid w:val="007D461A"/>
    <w:rsid w:val="007D6532"/>
    <w:rsid w:val="007E1661"/>
    <w:rsid w:val="007E1A7B"/>
    <w:rsid w:val="007E2CAE"/>
    <w:rsid w:val="007E5375"/>
    <w:rsid w:val="007E6D98"/>
    <w:rsid w:val="007F0368"/>
    <w:rsid w:val="007F2448"/>
    <w:rsid w:val="007F5F2C"/>
    <w:rsid w:val="0080618D"/>
    <w:rsid w:val="00807500"/>
    <w:rsid w:val="008101FC"/>
    <w:rsid w:val="00811F75"/>
    <w:rsid w:val="008124C7"/>
    <w:rsid w:val="00815BA2"/>
    <w:rsid w:val="008160F2"/>
    <w:rsid w:val="008175F6"/>
    <w:rsid w:val="00823055"/>
    <w:rsid w:val="0082552C"/>
    <w:rsid w:val="00826928"/>
    <w:rsid w:val="008277F7"/>
    <w:rsid w:val="00827FE1"/>
    <w:rsid w:val="00831557"/>
    <w:rsid w:val="00834BFD"/>
    <w:rsid w:val="00836E05"/>
    <w:rsid w:val="0084041C"/>
    <w:rsid w:val="0084079F"/>
    <w:rsid w:val="00841D86"/>
    <w:rsid w:val="00842AEE"/>
    <w:rsid w:val="00847587"/>
    <w:rsid w:val="00850CEC"/>
    <w:rsid w:val="00850CF9"/>
    <w:rsid w:val="0085438C"/>
    <w:rsid w:val="00854F48"/>
    <w:rsid w:val="00871B08"/>
    <w:rsid w:val="00872C15"/>
    <w:rsid w:val="00875B0E"/>
    <w:rsid w:val="008826D7"/>
    <w:rsid w:val="0088308C"/>
    <w:rsid w:val="0088325C"/>
    <w:rsid w:val="0088341E"/>
    <w:rsid w:val="008853C8"/>
    <w:rsid w:val="008863DF"/>
    <w:rsid w:val="00886593"/>
    <w:rsid w:val="00891761"/>
    <w:rsid w:val="00894106"/>
    <w:rsid w:val="00896B85"/>
    <w:rsid w:val="008A2548"/>
    <w:rsid w:val="008A360C"/>
    <w:rsid w:val="008A4F54"/>
    <w:rsid w:val="008A6B32"/>
    <w:rsid w:val="008B3CB7"/>
    <w:rsid w:val="008C0900"/>
    <w:rsid w:val="008D10A7"/>
    <w:rsid w:val="008D3D2D"/>
    <w:rsid w:val="008D425B"/>
    <w:rsid w:val="008E1A23"/>
    <w:rsid w:val="008E22A6"/>
    <w:rsid w:val="008E339D"/>
    <w:rsid w:val="008E4408"/>
    <w:rsid w:val="008E56F7"/>
    <w:rsid w:val="008F2EDC"/>
    <w:rsid w:val="008F3194"/>
    <w:rsid w:val="008F4385"/>
    <w:rsid w:val="009004DE"/>
    <w:rsid w:val="0090163C"/>
    <w:rsid w:val="00906FE0"/>
    <w:rsid w:val="00910F9F"/>
    <w:rsid w:val="009122F5"/>
    <w:rsid w:val="009133D5"/>
    <w:rsid w:val="00914911"/>
    <w:rsid w:val="00916349"/>
    <w:rsid w:val="009210C9"/>
    <w:rsid w:val="00921F79"/>
    <w:rsid w:val="00924211"/>
    <w:rsid w:val="009248E3"/>
    <w:rsid w:val="009254DD"/>
    <w:rsid w:val="009260C8"/>
    <w:rsid w:val="009262E5"/>
    <w:rsid w:val="00933982"/>
    <w:rsid w:val="00934E23"/>
    <w:rsid w:val="0093525B"/>
    <w:rsid w:val="00935578"/>
    <w:rsid w:val="00935BD9"/>
    <w:rsid w:val="00937255"/>
    <w:rsid w:val="009427AB"/>
    <w:rsid w:val="00943CE3"/>
    <w:rsid w:val="00950876"/>
    <w:rsid w:val="00951C26"/>
    <w:rsid w:val="0095606A"/>
    <w:rsid w:val="00962BF9"/>
    <w:rsid w:val="00964180"/>
    <w:rsid w:val="009655E8"/>
    <w:rsid w:val="00976B5F"/>
    <w:rsid w:val="00981AEC"/>
    <w:rsid w:val="00985FEA"/>
    <w:rsid w:val="009912A8"/>
    <w:rsid w:val="009921B7"/>
    <w:rsid w:val="00995954"/>
    <w:rsid w:val="00996CFE"/>
    <w:rsid w:val="0099725E"/>
    <w:rsid w:val="009A09E0"/>
    <w:rsid w:val="009A51B4"/>
    <w:rsid w:val="009A53AD"/>
    <w:rsid w:val="009A6143"/>
    <w:rsid w:val="009A6C1E"/>
    <w:rsid w:val="009A70CF"/>
    <w:rsid w:val="009A79DF"/>
    <w:rsid w:val="009B1F48"/>
    <w:rsid w:val="009B2BF9"/>
    <w:rsid w:val="009C7383"/>
    <w:rsid w:val="009D27CE"/>
    <w:rsid w:val="009D71F2"/>
    <w:rsid w:val="009E0A56"/>
    <w:rsid w:val="009E222A"/>
    <w:rsid w:val="009E5E99"/>
    <w:rsid w:val="009E6601"/>
    <w:rsid w:val="009F0F9D"/>
    <w:rsid w:val="00A039E3"/>
    <w:rsid w:val="00A03C02"/>
    <w:rsid w:val="00A1268E"/>
    <w:rsid w:val="00A126B3"/>
    <w:rsid w:val="00A12FD2"/>
    <w:rsid w:val="00A22C80"/>
    <w:rsid w:val="00A27308"/>
    <w:rsid w:val="00A32A67"/>
    <w:rsid w:val="00A35833"/>
    <w:rsid w:val="00A37198"/>
    <w:rsid w:val="00A40E72"/>
    <w:rsid w:val="00A41797"/>
    <w:rsid w:val="00A42E28"/>
    <w:rsid w:val="00A44F61"/>
    <w:rsid w:val="00A46B4E"/>
    <w:rsid w:val="00A50129"/>
    <w:rsid w:val="00A52E89"/>
    <w:rsid w:val="00A53D61"/>
    <w:rsid w:val="00A55F54"/>
    <w:rsid w:val="00A567D7"/>
    <w:rsid w:val="00A57C7A"/>
    <w:rsid w:val="00A61159"/>
    <w:rsid w:val="00A6186C"/>
    <w:rsid w:val="00A61E86"/>
    <w:rsid w:val="00A66D4B"/>
    <w:rsid w:val="00A71DE0"/>
    <w:rsid w:val="00A7390D"/>
    <w:rsid w:val="00A75D8E"/>
    <w:rsid w:val="00A77588"/>
    <w:rsid w:val="00A80F3E"/>
    <w:rsid w:val="00A82F25"/>
    <w:rsid w:val="00A90A49"/>
    <w:rsid w:val="00A911D3"/>
    <w:rsid w:val="00A91D67"/>
    <w:rsid w:val="00A92905"/>
    <w:rsid w:val="00A92E2E"/>
    <w:rsid w:val="00A94D70"/>
    <w:rsid w:val="00A95867"/>
    <w:rsid w:val="00A960D5"/>
    <w:rsid w:val="00A963D8"/>
    <w:rsid w:val="00AA14CC"/>
    <w:rsid w:val="00AA4626"/>
    <w:rsid w:val="00AB0CA7"/>
    <w:rsid w:val="00AB741A"/>
    <w:rsid w:val="00AC1126"/>
    <w:rsid w:val="00AC22B2"/>
    <w:rsid w:val="00AC2E57"/>
    <w:rsid w:val="00AC6E9C"/>
    <w:rsid w:val="00AD261D"/>
    <w:rsid w:val="00AD35A5"/>
    <w:rsid w:val="00AD6186"/>
    <w:rsid w:val="00AE0026"/>
    <w:rsid w:val="00AE0B18"/>
    <w:rsid w:val="00AE1A0E"/>
    <w:rsid w:val="00AE56B3"/>
    <w:rsid w:val="00AF283E"/>
    <w:rsid w:val="00AF34A0"/>
    <w:rsid w:val="00AF354F"/>
    <w:rsid w:val="00AF717B"/>
    <w:rsid w:val="00B0045C"/>
    <w:rsid w:val="00B018DD"/>
    <w:rsid w:val="00B02859"/>
    <w:rsid w:val="00B03490"/>
    <w:rsid w:val="00B04CE7"/>
    <w:rsid w:val="00B2191C"/>
    <w:rsid w:val="00B222D0"/>
    <w:rsid w:val="00B228DE"/>
    <w:rsid w:val="00B23FCF"/>
    <w:rsid w:val="00B37412"/>
    <w:rsid w:val="00B429DB"/>
    <w:rsid w:val="00B47485"/>
    <w:rsid w:val="00B51C0B"/>
    <w:rsid w:val="00B54233"/>
    <w:rsid w:val="00B542EE"/>
    <w:rsid w:val="00B57163"/>
    <w:rsid w:val="00B61995"/>
    <w:rsid w:val="00B6266A"/>
    <w:rsid w:val="00B72DAE"/>
    <w:rsid w:val="00B81595"/>
    <w:rsid w:val="00B81B1D"/>
    <w:rsid w:val="00B81C3D"/>
    <w:rsid w:val="00B8447C"/>
    <w:rsid w:val="00B84DE6"/>
    <w:rsid w:val="00B9248E"/>
    <w:rsid w:val="00B9690C"/>
    <w:rsid w:val="00BA7332"/>
    <w:rsid w:val="00BB29E5"/>
    <w:rsid w:val="00BB4FDA"/>
    <w:rsid w:val="00BB5ABE"/>
    <w:rsid w:val="00BB7E31"/>
    <w:rsid w:val="00BC0267"/>
    <w:rsid w:val="00BC45CC"/>
    <w:rsid w:val="00BC69AE"/>
    <w:rsid w:val="00BC752E"/>
    <w:rsid w:val="00BC7BF5"/>
    <w:rsid w:val="00BD251E"/>
    <w:rsid w:val="00BD4CC7"/>
    <w:rsid w:val="00BD63E6"/>
    <w:rsid w:val="00BD6F1A"/>
    <w:rsid w:val="00BE222C"/>
    <w:rsid w:val="00BF2459"/>
    <w:rsid w:val="00BF2D19"/>
    <w:rsid w:val="00BF56D4"/>
    <w:rsid w:val="00BF791C"/>
    <w:rsid w:val="00C0057B"/>
    <w:rsid w:val="00C01E96"/>
    <w:rsid w:val="00C1216B"/>
    <w:rsid w:val="00C20EE9"/>
    <w:rsid w:val="00C233F9"/>
    <w:rsid w:val="00C24AE5"/>
    <w:rsid w:val="00C262BE"/>
    <w:rsid w:val="00C36B19"/>
    <w:rsid w:val="00C40033"/>
    <w:rsid w:val="00C411E6"/>
    <w:rsid w:val="00C4174D"/>
    <w:rsid w:val="00C50680"/>
    <w:rsid w:val="00C512D5"/>
    <w:rsid w:val="00C513CC"/>
    <w:rsid w:val="00C52F6E"/>
    <w:rsid w:val="00C579D5"/>
    <w:rsid w:val="00C7446B"/>
    <w:rsid w:val="00C7704D"/>
    <w:rsid w:val="00C8565C"/>
    <w:rsid w:val="00C8692C"/>
    <w:rsid w:val="00C93425"/>
    <w:rsid w:val="00C934B8"/>
    <w:rsid w:val="00C94652"/>
    <w:rsid w:val="00CA0FF0"/>
    <w:rsid w:val="00CA1484"/>
    <w:rsid w:val="00CA7E15"/>
    <w:rsid w:val="00CB0D64"/>
    <w:rsid w:val="00CB32DC"/>
    <w:rsid w:val="00CB50AF"/>
    <w:rsid w:val="00CC0DBB"/>
    <w:rsid w:val="00CC14ED"/>
    <w:rsid w:val="00CC6C1B"/>
    <w:rsid w:val="00CD20F9"/>
    <w:rsid w:val="00CD3B61"/>
    <w:rsid w:val="00CD4D7F"/>
    <w:rsid w:val="00CD5291"/>
    <w:rsid w:val="00CD532A"/>
    <w:rsid w:val="00CD7872"/>
    <w:rsid w:val="00CE2103"/>
    <w:rsid w:val="00CE2883"/>
    <w:rsid w:val="00CE2BEA"/>
    <w:rsid w:val="00CE2E20"/>
    <w:rsid w:val="00CE52EE"/>
    <w:rsid w:val="00CE6228"/>
    <w:rsid w:val="00CF3E56"/>
    <w:rsid w:val="00CF5C49"/>
    <w:rsid w:val="00CF5DA8"/>
    <w:rsid w:val="00D000D0"/>
    <w:rsid w:val="00D056A0"/>
    <w:rsid w:val="00D066FF"/>
    <w:rsid w:val="00D12996"/>
    <w:rsid w:val="00D15412"/>
    <w:rsid w:val="00D2003F"/>
    <w:rsid w:val="00D21DCB"/>
    <w:rsid w:val="00D267C0"/>
    <w:rsid w:val="00D277C9"/>
    <w:rsid w:val="00D321EA"/>
    <w:rsid w:val="00D32E63"/>
    <w:rsid w:val="00D33EC0"/>
    <w:rsid w:val="00D3542D"/>
    <w:rsid w:val="00D37717"/>
    <w:rsid w:val="00D436F9"/>
    <w:rsid w:val="00D447BE"/>
    <w:rsid w:val="00D5417E"/>
    <w:rsid w:val="00D5511D"/>
    <w:rsid w:val="00D56AF7"/>
    <w:rsid w:val="00D57F48"/>
    <w:rsid w:val="00D60083"/>
    <w:rsid w:val="00D612F5"/>
    <w:rsid w:val="00D61BD0"/>
    <w:rsid w:val="00D61FEE"/>
    <w:rsid w:val="00D62EB2"/>
    <w:rsid w:val="00D6325A"/>
    <w:rsid w:val="00D63CD6"/>
    <w:rsid w:val="00D63F92"/>
    <w:rsid w:val="00D64460"/>
    <w:rsid w:val="00D659DA"/>
    <w:rsid w:val="00D66E5E"/>
    <w:rsid w:val="00D6705E"/>
    <w:rsid w:val="00D71692"/>
    <w:rsid w:val="00D73D99"/>
    <w:rsid w:val="00D745B1"/>
    <w:rsid w:val="00D7782F"/>
    <w:rsid w:val="00D77F20"/>
    <w:rsid w:val="00D8218C"/>
    <w:rsid w:val="00D828AC"/>
    <w:rsid w:val="00D908F0"/>
    <w:rsid w:val="00D92021"/>
    <w:rsid w:val="00D979A7"/>
    <w:rsid w:val="00DA366D"/>
    <w:rsid w:val="00DA56BC"/>
    <w:rsid w:val="00DB04F8"/>
    <w:rsid w:val="00DB1C10"/>
    <w:rsid w:val="00DB44D3"/>
    <w:rsid w:val="00DB57EA"/>
    <w:rsid w:val="00DC16CF"/>
    <w:rsid w:val="00DC21A0"/>
    <w:rsid w:val="00DC70B4"/>
    <w:rsid w:val="00DD0A9C"/>
    <w:rsid w:val="00DD5945"/>
    <w:rsid w:val="00DD79E2"/>
    <w:rsid w:val="00DE1DC9"/>
    <w:rsid w:val="00DE2EB2"/>
    <w:rsid w:val="00DE59D4"/>
    <w:rsid w:val="00DE64EF"/>
    <w:rsid w:val="00DE6655"/>
    <w:rsid w:val="00DE6ADF"/>
    <w:rsid w:val="00DF0B2E"/>
    <w:rsid w:val="00DF1B6F"/>
    <w:rsid w:val="00DF443B"/>
    <w:rsid w:val="00DF61ED"/>
    <w:rsid w:val="00DF6BFB"/>
    <w:rsid w:val="00E00C94"/>
    <w:rsid w:val="00E03216"/>
    <w:rsid w:val="00E07AF1"/>
    <w:rsid w:val="00E137B3"/>
    <w:rsid w:val="00E15D4A"/>
    <w:rsid w:val="00E1668C"/>
    <w:rsid w:val="00E17637"/>
    <w:rsid w:val="00E223D3"/>
    <w:rsid w:val="00E24EA1"/>
    <w:rsid w:val="00E3071A"/>
    <w:rsid w:val="00E347A8"/>
    <w:rsid w:val="00E35C74"/>
    <w:rsid w:val="00E367A7"/>
    <w:rsid w:val="00E52981"/>
    <w:rsid w:val="00E52E92"/>
    <w:rsid w:val="00E56E1A"/>
    <w:rsid w:val="00E56F30"/>
    <w:rsid w:val="00E64ADD"/>
    <w:rsid w:val="00E653EC"/>
    <w:rsid w:val="00E658EC"/>
    <w:rsid w:val="00E67C0E"/>
    <w:rsid w:val="00E73805"/>
    <w:rsid w:val="00E762B8"/>
    <w:rsid w:val="00E775F9"/>
    <w:rsid w:val="00E7765D"/>
    <w:rsid w:val="00E81745"/>
    <w:rsid w:val="00E82098"/>
    <w:rsid w:val="00E82344"/>
    <w:rsid w:val="00E82E61"/>
    <w:rsid w:val="00E84D38"/>
    <w:rsid w:val="00E872B6"/>
    <w:rsid w:val="00E94241"/>
    <w:rsid w:val="00E948C0"/>
    <w:rsid w:val="00EA09BC"/>
    <w:rsid w:val="00EA4718"/>
    <w:rsid w:val="00EB2A2C"/>
    <w:rsid w:val="00EB5329"/>
    <w:rsid w:val="00EB5C9B"/>
    <w:rsid w:val="00EC1F86"/>
    <w:rsid w:val="00EC331E"/>
    <w:rsid w:val="00EC6442"/>
    <w:rsid w:val="00ED3004"/>
    <w:rsid w:val="00ED6942"/>
    <w:rsid w:val="00EF17C4"/>
    <w:rsid w:val="00EF6546"/>
    <w:rsid w:val="00EF6BDC"/>
    <w:rsid w:val="00F00120"/>
    <w:rsid w:val="00F014B3"/>
    <w:rsid w:val="00F0693D"/>
    <w:rsid w:val="00F078F8"/>
    <w:rsid w:val="00F07A1E"/>
    <w:rsid w:val="00F1529E"/>
    <w:rsid w:val="00F15A41"/>
    <w:rsid w:val="00F1713E"/>
    <w:rsid w:val="00F211D9"/>
    <w:rsid w:val="00F25DE4"/>
    <w:rsid w:val="00F43463"/>
    <w:rsid w:val="00F4535A"/>
    <w:rsid w:val="00F45B81"/>
    <w:rsid w:val="00F4660E"/>
    <w:rsid w:val="00F51AF2"/>
    <w:rsid w:val="00F57EF9"/>
    <w:rsid w:val="00F603C0"/>
    <w:rsid w:val="00F63A1C"/>
    <w:rsid w:val="00F64158"/>
    <w:rsid w:val="00F65B66"/>
    <w:rsid w:val="00F71F93"/>
    <w:rsid w:val="00F7373F"/>
    <w:rsid w:val="00F7732A"/>
    <w:rsid w:val="00F77463"/>
    <w:rsid w:val="00F81392"/>
    <w:rsid w:val="00F81CC7"/>
    <w:rsid w:val="00F82966"/>
    <w:rsid w:val="00F854A8"/>
    <w:rsid w:val="00F900DC"/>
    <w:rsid w:val="00F91837"/>
    <w:rsid w:val="00F94DFE"/>
    <w:rsid w:val="00F97BDA"/>
    <w:rsid w:val="00FA0EC1"/>
    <w:rsid w:val="00FA19CA"/>
    <w:rsid w:val="00FA2359"/>
    <w:rsid w:val="00FB0692"/>
    <w:rsid w:val="00FB280A"/>
    <w:rsid w:val="00FB38A5"/>
    <w:rsid w:val="00FB533B"/>
    <w:rsid w:val="00FB6FA8"/>
    <w:rsid w:val="00FB7D71"/>
    <w:rsid w:val="00FC0E52"/>
    <w:rsid w:val="00FC33AC"/>
    <w:rsid w:val="00FD4382"/>
    <w:rsid w:val="00FD4DE6"/>
    <w:rsid w:val="00FD56CF"/>
    <w:rsid w:val="00FE2E1C"/>
    <w:rsid w:val="00FE30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A2C71E"/>
  <w15:docId w15:val="{AE6A6A6C-B12E-4BBC-8E29-2293A50D1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43463"/>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qFormat/>
    <w:rsid w:val="008E56F7"/>
    <w:pPr>
      <w:keepNext/>
      <w:pageBreakBefore/>
      <w:spacing w:before="240"/>
      <w:outlineLvl w:val="0"/>
    </w:pPr>
    <w:rPr>
      <w:rFonts w:cs="Arial"/>
      <w:b/>
      <w:snapToGrid w:val="0"/>
      <w:kern w:val="28"/>
      <w:sz w:val="40"/>
      <w:szCs w:val="20"/>
    </w:rPr>
  </w:style>
  <w:style w:type="paragraph" w:styleId="Heading2">
    <w:name w:val="heading 2"/>
    <w:basedOn w:val="Normal"/>
    <w:next w:val="Normal"/>
    <w:link w:val="Heading2Char"/>
    <w:qFormat/>
    <w:rsid w:val="00E64ADD"/>
    <w:pPr>
      <w:keepNext/>
      <w:spacing w:before="240"/>
      <w:outlineLvl w:val="1"/>
    </w:pPr>
    <w:rPr>
      <w:rFonts w:cs="Arial"/>
      <w:b/>
      <w:bCs/>
      <w:sz w:val="32"/>
      <w:szCs w:val="28"/>
    </w:rPr>
  </w:style>
  <w:style w:type="paragraph" w:styleId="Heading3">
    <w:name w:val="heading 3"/>
    <w:basedOn w:val="Normal"/>
    <w:next w:val="Normal"/>
    <w:link w:val="Heading3Char"/>
    <w:qFormat/>
    <w:rsid w:val="00E64ADD"/>
    <w:pPr>
      <w:keepNext/>
      <w:spacing w:before="240"/>
      <w:outlineLvl w:val="2"/>
    </w:pPr>
    <w:rPr>
      <w:rFonts w:cs="Arial"/>
      <w:b/>
      <w:bCs/>
      <w:iCs/>
      <w:sz w:val="28"/>
      <w:szCs w:val="28"/>
    </w:rPr>
  </w:style>
  <w:style w:type="paragraph" w:styleId="Heading4">
    <w:name w:val="heading 4"/>
    <w:basedOn w:val="Normal"/>
    <w:qFormat/>
    <w:rsid w:val="00E64ADD"/>
    <w:pPr>
      <w:keepNext/>
      <w:spacing w:before="240"/>
      <w:outlineLvl w:val="3"/>
    </w:pPr>
    <w:rPr>
      <w:b/>
      <w:bCs/>
      <w:sz w:val="24"/>
      <w:lang w:eastAsia="en-AU"/>
    </w:rPr>
  </w:style>
  <w:style w:type="paragraph" w:styleId="Heading5">
    <w:name w:val="heading 5"/>
    <w:basedOn w:val="Heading1numbered"/>
    <w:next w:val="Normal"/>
    <w:qFormat/>
    <w:rsid w:val="002050CA"/>
    <w:pPr>
      <w:outlineLvl w:val="4"/>
    </w:pPr>
  </w:style>
  <w:style w:type="paragraph" w:styleId="Heading6">
    <w:name w:val="heading 6"/>
    <w:basedOn w:val="Heading2numbered"/>
    <w:next w:val="Normal"/>
    <w:qFormat/>
    <w:rsid w:val="002050CA"/>
    <w:pPr>
      <w:outlineLvl w:val="5"/>
    </w:pPr>
  </w:style>
  <w:style w:type="paragraph" w:styleId="Heading7">
    <w:name w:val="heading 7"/>
    <w:basedOn w:val="Heading3numbered"/>
    <w:next w:val="Normal"/>
    <w:qFormat/>
    <w:rsid w:val="002050CA"/>
    <w:pPr>
      <w:outlineLvl w:val="6"/>
    </w:pPr>
  </w:style>
  <w:style w:type="paragraph" w:styleId="Heading8">
    <w:name w:val="heading 8"/>
    <w:basedOn w:val="Heading4numbered"/>
    <w:next w:val="Normal"/>
    <w:qFormat/>
    <w:rsid w:val="002050CA"/>
    <w:pPr>
      <w:outlineLvl w:val="7"/>
    </w:pPr>
  </w:style>
  <w:style w:type="paragraph" w:styleId="Heading9">
    <w:name w:val="heading 9"/>
    <w:basedOn w:val="Normal"/>
    <w:next w:val="Normal"/>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75C48"/>
    <w:rPr>
      <w:rFonts w:ascii="Gill Sans MT" w:hAnsi="Gill Sans MT" w:cs="Arial"/>
      <w:b/>
      <w:bCs/>
      <w:iCs/>
      <w:sz w:val="28"/>
      <w:szCs w:val="28"/>
      <w:lang w:val="en-AU" w:eastAsia="en-US" w:bidi="ar-SA"/>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link w:val="FooterChar"/>
    <w:uiPriority w:val="99"/>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uiPriority w:val="99"/>
    <w:rsid w:val="00747FBC"/>
    <w:rPr>
      <w:vertAlign w:val="superscript"/>
    </w:rPr>
  </w:style>
  <w:style w:type="paragraph" w:styleId="Header">
    <w:name w:val="header"/>
    <w:basedOn w:val="Normal"/>
    <w:semiHidden/>
    <w:rsid w:val="00E64ADD"/>
    <w:pPr>
      <w:tabs>
        <w:tab w:val="clear" w:pos="567"/>
      </w:tabs>
      <w:spacing w:after="0" w:line="240" w:lineRule="auto"/>
      <w:jc w:val="right"/>
    </w:pPr>
    <w:rPr>
      <w:sz w:val="16"/>
    </w:rPr>
  </w:style>
  <w:style w:type="paragraph" w:styleId="FootnoteText">
    <w:name w:val="footnote text"/>
    <w:basedOn w:val="Normal"/>
    <w:link w:val="FootnoteTextChar"/>
    <w:semiHidden/>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semiHidden/>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21"/>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autoRedefine/>
    <w:uiPriority w:val="39"/>
    <w:rsid w:val="00896B85"/>
    <w:pPr>
      <w:tabs>
        <w:tab w:val="right" w:pos="9360"/>
      </w:tabs>
      <w:spacing w:before="300"/>
      <w:ind w:right="-6"/>
    </w:pPr>
    <w:rPr>
      <w:b/>
      <w:noProof/>
      <w:szCs w:val="36"/>
    </w:rPr>
  </w:style>
  <w:style w:type="paragraph" w:styleId="TOC2">
    <w:name w:val="toc 2"/>
    <w:basedOn w:val="Normal"/>
    <w:next w:val="Normal"/>
    <w:autoRedefine/>
    <w:uiPriority w:val="39"/>
    <w:rsid w:val="00827FE1"/>
    <w:pPr>
      <w:tabs>
        <w:tab w:val="clear" w:pos="567"/>
        <w:tab w:val="right" w:pos="9360"/>
      </w:tabs>
      <w:spacing w:before="140"/>
      <w:ind w:left="1260" w:right="278" w:hanging="709"/>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uiPriority w:val="59"/>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semiHidden/>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6"/>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uiPriority w:val="20"/>
    <w:qFormat/>
    <w:rsid w:val="00001E5A"/>
    <w:rPr>
      <w:i/>
      <w:iCs/>
    </w:rPr>
  </w:style>
  <w:style w:type="paragraph" w:customStyle="1" w:styleId="Heading1numbered">
    <w:name w:val="Heading 1 (numbered)"/>
    <w:basedOn w:val="Heading1"/>
    <w:next w:val="Normal"/>
    <w:semiHidden/>
    <w:rsid w:val="00E64ADD"/>
    <w:pPr>
      <w:numPr>
        <w:numId w:val="15"/>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uiPriority w:val="99"/>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ilvl w:val="1"/>
        <w:numId w:val="15"/>
      </w:numPr>
      <w:tabs>
        <w:tab w:val="clear" w:pos="567"/>
      </w:tabs>
      <w:spacing w:after="120"/>
    </w:pPr>
  </w:style>
  <w:style w:type="paragraph" w:styleId="Title">
    <w:name w:val="Title"/>
    <w:basedOn w:val="ReportTitle"/>
    <w:qFormat/>
    <w:rsid w:val="004A4A7A"/>
    <w:pPr>
      <w:widowControl w:val="0"/>
      <w:spacing w:before="0" w:after="140"/>
    </w:pPr>
    <w:rPr>
      <w:sz w:val="52"/>
      <w:szCs w:val="52"/>
    </w:rPr>
  </w:style>
  <w:style w:type="paragraph" w:customStyle="1" w:styleId="BulletedIndentedafterNumber">
    <w:name w:val="Bulleted Indented after Number"/>
    <w:semiHidden/>
    <w:rsid w:val="00E64ADD"/>
    <w:pPr>
      <w:numPr>
        <w:numId w:val="11"/>
      </w:numPr>
      <w:spacing w:after="140" w:line="300" w:lineRule="atLeast"/>
    </w:pPr>
    <w:rPr>
      <w:rFonts w:ascii="Gill Sans MT" w:hAnsi="Gill Sans MT"/>
      <w:sz w:val="22"/>
      <w:lang w:eastAsia="en-US"/>
    </w:rPr>
  </w:style>
  <w:style w:type="paragraph" w:customStyle="1" w:styleId="BulletedListLevel1">
    <w:name w:val="Bulleted List Level 1"/>
    <w:link w:val="BulletedListLevel1Char"/>
    <w:rsid w:val="00E64ADD"/>
    <w:pPr>
      <w:numPr>
        <w:numId w:val="12"/>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semiHidden/>
    <w:rsid w:val="00E64ADD"/>
    <w:pPr>
      <w:numPr>
        <w:numId w:val="13"/>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numPr>
        <w:numId w:val="14"/>
      </w:num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15"/>
      </w:numPr>
      <w:tabs>
        <w:tab w:val="clear" w:pos="567"/>
      </w:tabs>
      <w:spacing w:after="120"/>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15"/>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7"/>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semiHidden/>
    <w:rsid w:val="00E64ADD"/>
    <w:rPr>
      <w:rFonts w:ascii="Tahoma" w:hAnsi="Tahoma" w:cs="Tahoma"/>
      <w:sz w:val="16"/>
      <w:szCs w:val="16"/>
    </w:rPr>
  </w:style>
  <w:style w:type="character" w:styleId="CommentReference">
    <w:name w:val="annotation reference"/>
    <w:semiHidden/>
    <w:rsid w:val="00E64ADD"/>
    <w:rPr>
      <w:sz w:val="16"/>
      <w:szCs w:val="16"/>
    </w:rPr>
  </w:style>
  <w:style w:type="paragraph" w:styleId="CommentText">
    <w:name w:val="annotation text"/>
    <w:basedOn w:val="Normal"/>
    <w:semiHidden/>
    <w:rsid w:val="00E64ADD"/>
    <w:rPr>
      <w:sz w:val="20"/>
      <w:szCs w:val="20"/>
    </w:rPr>
  </w:style>
  <w:style w:type="paragraph" w:styleId="CommentSubject">
    <w:name w:val="annotation subject"/>
    <w:basedOn w:val="CommentText"/>
    <w:next w:val="CommentText"/>
    <w:semiHidden/>
    <w:rsid w:val="00E64ADD"/>
    <w:rPr>
      <w:b/>
      <w:bCs/>
    </w:rPr>
  </w:style>
  <w:style w:type="character" w:styleId="EndnoteReference">
    <w:name w:val="endnote reference"/>
    <w:rsid w:val="00E64ADD"/>
    <w:rPr>
      <w:vertAlign w:val="superscript"/>
    </w:rPr>
  </w:style>
  <w:style w:type="paragraph" w:styleId="EndnoteText">
    <w:name w:val="endnote text"/>
    <w:basedOn w:val="Normal"/>
    <w:link w:val="EndnoteTextChar"/>
    <w:uiPriority w:val="99"/>
    <w:rsid w:val="00E64ADD"/>
    <w:rPr>
      <w:sz w:val="20"/>
      <w:szCs w:val="20"/>
    </w:rPr>
  </w:style>
  <w:style w:type="paragraph" w:styleId="Index1">
    <w:name w:val="index 1"/>
    <w:basedOn w:val="Heading1"/>
    <w:next w:val="Normal"/>
    <w:autoRedefine/>
    <w:semiHidden/>
    <w:rsid w:val="00A57C7A"/>
    <w:rPr>
      <w:color w:val="365F91" w:themeColor="accent1" w:themeShade="BF"/>
    </w:rPr>
  </w:style>
  <w:style w:type="paragraph" w:styleId="Index2">
    <w:name w:val="index 2"/>
    <w:basedOn w:val="Heading2"/>
    <w:next w:val="Normal"/>
    <w:autoRedefine/>
    <w:semiHidden/>
    <w:rsid w:val="00A57C7A"/>
    <w:rPr>
      <w:color w:val="365F91" w:themeColor="accent1" w:themeShade="BF"/>
    </w:rPr>
  </w:style>
  <w:style w:type="paragraph" w:styleId="Index3">
    <w:name w:val="index 3"/>
    <w:basedOn w:val="Heading3"/>
    <w:next w:val="Normal"/>
    <w:autoRedefine/>
    <w:semiHidden/>
    <w:rsid w:val="00A57C7A"/>
    <w:rPr>
      <w:color w:val="365F91" w:themeColor="accent1" w:themeShade="BF"/>
    </w:rPr>
  </w:style>
  <w:style w:type="paragraph" w:styleId="Index4">
    <w:name w:val="index 4"/>
    <w:basedOn w:val="Heading4"/>
    <w:next w:val="Normal"/>
    <w:autoRedefine/>
    <w:semiHidden/>
    <w:rsid w:val="00A57C7A"/>
    <w:rPr>
      <w:color w:val="365F91" w:themeColor="accent1" w:themeShade="BF"/>
    </w:r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semiHidden/>
    <w:rsid w:val="00E64ADD"/>
    <w:pPr>
      <w:tabs>
        <w:tab w:val="clear" w:pos="567"/>
      </w:tabs>
      <w:ind w:left="440"/>
    </w:pPr>
  </w:style>
  <w:style w:type="paragraph" w:styleId="TOC4">
    <w:name w:val="toc 4"/>
    <w:basedOn w:val="Normal"/>
    <w:next w:val="Normal"/>
    <w:autoRedefine/>
    <w:semiHidden/>
    <w:rsid w:val="00E64ADD"/>
    <w:pPr>
      <w:tabs>
        <w:tab w:val="clear" w:pos="567"/>
      </w:tabs>
      <w:ind w:left="660"/>
    </w:pPr>
  </w:style>
  <w:style w:type="paragraph" w:styleId="TOC5">
    <w:name w:val="toc 5"/>
    <w:basedOn w:val="Normal"/>
    <w:next w:val="Normal"/>
    <w:autoRedefine/>
    <w:semiHidden/>
    <w:rsid w:val="00E64ADD"/>
    <w:pPr>
      <w:tabs>
        <w:tab w:val="clear" w:pos="567"/>
      </w:tabs>
      <w:ind w:left="880"/>
    </w:pPr>
  </w:style>
  <w:style w:type="paragraph" w:styleId="TOC6">
    <w:name w:val="toc 6"/>
    <w:basedOn w:val="Normal"/>
    <w:next w:val="Normal"/>
    <w:autoRedefine/>
    <w:semiHidden/>
    <w:rsid w:val="00E64ADD"/>
    <w:pPr>
      <w:tabs>
        <w:tab w:val="clear" w:pos="567"/>
      </w:tabs>
      <w:ind w:left="1100"/>
    </w:pPr>
  </w:style>
  <w:style w:type="paragraph" w:styleId="TOC7">
    <w:name w:val="toc 7"/>
    <w:basedOn w:val="Normal"/>
    <w:next w:val="Normal"/>
    <w:autoRedefine/>
    <w:semiHidden/>
    <w:rsid w:val="00E64ADD"/>
    <w:pPr>
      <w:tabs>
        <w:tab w:val="clear" w:pos="567"/>
      </w:tabs>
      <w:ind w:left="1320"/>
    </w:pPr>
  </w:style>
  <w:style w:type="paragraph" w:styleId="TOC8">
    <w:name w:val="toc 8"/>
    <w:basedOn w:val="Normal"/>
    <w:next w:val="Normal"/>
    <w:autoRedefine/>
    <w:semiHidden/>
    <w:rsid w:val="00E64ADD"/>
    <w:pPr>
      <w:tabs>
        <w:tab w:val="clear" w:pos="567"/>
      </w:tabs>
      <w:ind w:left="1540"/>
    </w:pPr>
  </w:style>
  <w:style w:type="paragraph" w:styleId="TOC9">
    <w:name w:val="toc 9"/>
    <w:basedOn w:val="Normal"/>
    <w:next w:val="Normal"/>
    <w:autoRedefine/>
    <w:semiHidden/>
    <w:rsid w:val="00E64ADD"/>
    <w:pPr>
      <w:tabs>
        <w:tab w:val="clear" w:pos="567"/>
      </w:tabs>
      <w:ind w:left="1760"/>
    </w:pPr>
  </w:style>
  <w:style w:type="numbering" w:styleId="111111">
    <w:name w:val="Outline List 2"/>
    <w:basedOn w:val="NoList"/>
    <w:semiHidden/>
    <w:rsid w:val="00E64ADD"/>
    <w:pPr>
      <w:numPr>
        <w:numId w:val="18"/>
      </w:numPr>
    </w:pPr>
  </w:style>
  <w:style w:type="numbering" w:styleId="1ai">
    <w:name w:val="Outline List 1"/>
    <w:basedOn w:val="NoList"/>
    <w:semiHidden/>
    <w:rsid w:val="00E64ADD"/>
    <w:pPr>
      <w:numPr>
        <w:numId w:val="19"/>
      </w:numPr>
    </w:pPr>
  </w:style>
  <w:style w:type="numbering" w:styleId="ArticleSection">
    <w:name w:val="Outline List 3"/>
    <w:basedOn w:val="NoList"/>
    <w:semiHidden/>
    <w:rsid w:val="00E64ADD"/>
    <w:pPr>
      <w:numPr>
        <w:numId w:val="20"/>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rsid w:val="00850CEC"/>
    <w:pPr>
      <w:numPr>
        <w:numId w:val="10"/>
      </w:numPr>
    </w:pPr>
  </w:style>
  <w:style w:type="paragraph" w:styleId="ListBullet2">
    <w:name w:val="List Bullet 2"/>
    <w:basedOn w:val="Normal"/>
    <w:semiHidden/>
    <w:rsid w:val="00850CEC"/>
    <w:pPr>
      <w:numPr>
        <w:numId w:val="22"/>
      </w:numPr>
      <w:tabs>
        <w:tab w:val="clear" w:pos="567"/>
        <w:tab w:val="left" w:pos="1134"/>
      </w:tabs>
      <w:ind w:left="1134" w:hanging="567"/>
    </w:pPr>
  </w:style>
  <w:style w:type="paragraph" w:styleId="ListBullet3">
    <w:name w:val="List Bullet 3"/>
    <w:basedOn w:val="ListBullet2"/>
    <w:semiHidden/>
    <w:rsid w:val="00850CEC"/>
    <w:pPr>
      <w:numPr>
        <w:numId w:val="23"/>
      </w:numPr>
      <w:tabs>
        <w:tab w:val="left" w:pos="1701"/>
      </w:tabs>
      <w:ind w:left="1701" w:hanging="567"/>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semiHidden/>
    <w:rsid w:val="00850CEC"/>
    <w:pPr>
      <w:numPr>
        <w:numId w:val="24"/>
      </w:numPr>
      <w:ind w:left="567" w:hanging="567"/>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aliases w:val="Bullet point,Bullets,CV text,Dot pt,F5 List Paragraph,FooterText,L,List Paragraph Number,List Paragraph1,List Paragraph11,List Paragraph111,List Paragraph2,Medium Grid 1 - Accent 21,NAST Quote,NFP GP Bulleted List,Recommendation,リスト段落,列"/>
    <w:basedOn w:val="Normal"/>
    <w:link w:val="ListParagraphChar"/>
    <w:uiPriority w:val="34"/>
    <w:qFormat/>
    <w:rsid w:val="00F4660E"/>
    <w:pPr>
      <w:tabs>
        <w:tab w:val="clear" w:pos="567"/>
      </w:tabs>
      <w:spacing w:before="120" w:after="120" w:line="320" w:lineRule="exact"/>
      <w:ind w:left="720"/>
      <w:contextualSpacing/>
      <w:jc w:val="both"/>
    </w:pPr>
    <w:rPr>
      <w:rFonts w:ascii="Calibri" w:hAnsi="Calibri"/>
      <w:sz w:val="24"/>
      <w:lang w:val="en-US" w:bidi="en-US"/>
    </w:rPr>
  </w:style>
  <w:style w:type="character" w:customStyle="1" w:styleId="ListParagraphChar">
    <w:name w:val="List Paragraph Char"/>
    <w:aliases w:val="Bullet point Char,Bullets Char,CV text Char,Dot pt Char,F5 List Paragraph Char,FooterText Char,L Char,List Paragraph Number Char,List Paragraph1 Char,List Paragraph11 Char,List Paragraph111 Char,List Paragraph2 Char,NAST Quote Char"/>
    <w:link w:val="ListParagraph"/>
    <w:uiPriority w:val="34"/>
    <w:qFormat/>
    <w:locked/>
    <w:rsid w:val="00F4660E"/>
    <w:rPr>
      <w:rFonts w:ascii="Calibri" w:hAnsi="Calibri"/>
      <w:sz w:val="24"/>
      <w:szCs w:val="22"/>
      <w:lang w:val="en-US" w:eastAsia="en-US" w:bidi="en-US"/>
    </w:rPr>
  </w:style>
  <w:style w:type="character" w:customStyle="1" w:styleId="Heading2Char">
    <w:name w:val="Heading 2 Char"/>
    <w:basedOn w:val="DefaultParagraphFont"/>
    <w:link w:val="Heading2"/>
    <w:rsid w:val="00F4660E"/>
    <w:rPr>
      <w:rFonts w:ascii="Gill Sans MT" w:hAnsi="Gill Sans MT" w:cs="Arial"/>
      <w:b/>
      <w:bCs/>
      <w:sz w:val="32"/>
      <w:szCs w:val="28"/>
      <w:lang w:eastAsia="en-US"/>
    </w:rPr>
  </w:style>
  <w:style w:type="character" w:customStyle="1" w:styleId="EndnoteTextChar">
    <w:name w:val="Endnote Text Char"/>
    <w:basedOn w:val="DefaultParagraphFont"/>
    <w:link w:val="EndnoteText"/>
    <w:uiPriority w:val="99"/>
    <w:rsid w:val="00C8692C"/>
    <w:rPr>
      <w:rFonts w:ascii="Gill Sans MT" w:hAnsi="Gill Sans MT"/>
      <w:lang w:eastAsia="en-US"/>
    </w:rPr>
  </w:style>
  <w:style w:type="character" w:customStyle="1" w:styleId="BulletedListLevel1Char">
    <w:name w:val="Bulleted List Level 1 Char"/>
    <w:basedOn w:val="DefaultParagraphFont"/>
    <w:link w:val="BulletedListLevel1"/>
    <w:rsid w:val="00C8692C"/>
    <w:rPr>
      <w:rFonts w:ascii="Gill Sans MT" w:hAnsi="Gill Sans MT"/>
      <w:sz w:val="22"/>
      <w:szCs w:val="24"/>
      <w:lang w:eastAsia="en-US"/>
    </w:rPr>
  </w:style>
  <w:style w:type="paragraph" w:customStyle="1" w:styleId="Default">
    <w:name w:val="Default"/>
    <w:rsid w:val="00C8692C"/>
    <w:pPr>
      <w:autoSpaceDE w:val="0"/>
      <w:autoSpaceDN w:val="0"/>
      <w:adjustRightInd w:val="0"/>
    </w:pPr>
    <w:rPr>
      <w:rFonts w:ascii="Gill Sans MT" w:eastAsiaTheme="minorHAnsi" w:hAnsi="Gill Sans MT" w:cs="Gill Sans MT"/>
      <w:color w:val="000000"/>
      <w:sz w:val="24"/>
      <w:szCs w:val="24"/>
      <w:lang w:eastAsia="en-US"/>
    </w:rPr>
  </w:style>
  <w:style w:type="character" w:customStyle="1" w:styleId="FootnoteTextChar">
    <w:name w:val="Footnote Text Char"/>
    <w:basedOn w:val="DefaultParagraphFont"/>
    <w:link w:val="FootnoteText"/>
    <w:semiHidden/>
    <w:rsid w:val="00C8692C"/>
    <w:rPr>
      <w:rFonts w:ascii="Gill Sans MT" w:hAnsi="Gill Sans MT"/>
      <w:color w:val="000000"/>
      <w:lang w:eastAsia="en-US"/>
    </w:rPr>
  </w:style>
  <w:style w:type="paragraph" w:customStyle="1" w:styleId="DHHSbody">
    <w:name w:val="DHHS body"/>
    <w:link w:val="DHHSbodyChar"/>
    <w:qFormat/>
    <w:rsid w:val="00C8692C"/>
    <w:pPr>
      <w:spacing w:after="120" w:line="270" w:lineRule="atLeast"/>
    </w:pPr>
    <w:rPr>
      <w:rFonts w:ascii="Arial" w:eastAsia="Times" w:hAnsi="Arial"/>
      <w:lang w:eastAsia="en-US"/>
    </w:rPr>
  </w:style>
  <w:style w:type="character" w:customStyle="1" w:styleId="DHHSbodyChar">
    <w:name w:val="DHHS body Char"/>
    <w:link w:val="DHHSbody"/>
    <w:rsid w:val="00C8692C"/>
    <w:rPr>
      <w:rFonts w:ascii="Arial" w:eastAsia="Times" w:hAnsi="Arial"/>
      <w:lang w:eastAsia="en-US"/>
    </w:rPr>
  </w:style>
  <w:style w:type="paragraph" w:customStyle="1" w:styleId="Pa11">
    <w:name w:val="Pa11"/>
    <w:basedOn w:val="Normal"/>
    <w:next w:val="Normal"/>
    <w:uiPriority w:val="99"/>
    <w:rsid w:val="00C8692C"/>
    <w:pPr>
      <w:tabs>
        <w:tab w:val="clear" w:pos="567"/>
      </w:tabs>
      <w:autoSpaceDE w:val="0"/>
      <w:autoSpaceDN w:val="0"/>
      <w:adjustRightInd w:val="0"/>
      <w:spacing w:after="0" w:line="181" w:lineRule="atLeast"/>
    </w:pPr>
    <w:rPr>
      <w:rFonts w:ascii="Gill Sans MT Pro Medium" w:eastAsiaTheme="minorHAnsi" w:hAnsi="Gill Sans MT Pro Medium" w:cstheme="minorBidi"/>
      <w:sz w:val="24"/>
      <w:szCs w:val="24"/>
    </w:rPr>
  </w:style>
  <w:style w:type="character" w:customStyle="1" w:styleId="A8">
    <w:name w:val="A8"/>
    <w:uiPriority w:val="99"/>
    <w:rsid w:val="00C8692C"/>
    <w:rPr>
      <w:rFonts w:cs="Gill Sans MT Pro Medium"/>
      <w:color w:val="000000"/>
      <w:sz w:val="10"/>
      <w:szCs w:val="10"/>
    </w:rPr>
  </w:style>
  <w:style w:type="paragraph" w:customStyle="1" w:styleId="Pa28">
    <w:name w:val="Pa28"/>
    <w:basedOn w:val="Normal"/>
    <w:next w:val="Normal"/>
    <w:uiPriority w:val="99"/>
    <w:rsid w:val="00C8692C"/>
    <w:pPr>
      <w:tabs>
        <w:tab w:val="clear" w:pos="567"/>
      </w:tabs>
      <w:autoSpaceDE w:val="0"/>
      <w:autoSpaceDN w:val="0"/>
      <w:adjustRightInd w:val="0"/>
      <w:spacing w:after="0" w:line="181" w:lineRule="atLeast"/>
    </w:pPr>
    <w:rPr>
      <w:rFonts w:ascii="Gill Sans MT Pro Medium" w:eastAsiaTheme="minorHAnsi" w:hAnsi="Gill Sans MT Pro Medium" w:cstheme="minorBidi"/>
      <w:sz w:val="24"/>
      <w:szCs w:val="24"/>
    </w:rPr>
  </w:style>
  <w:style w:type="paragraph" w:customStyle="1" w:styleId="Pa29">
    <w:name w:val="Pa29"/>
    <w:basedOn w:val="Normal"/>
    <w:next w:val="Normal"/>
    <w:uiPriority w:val="99"/>
    <w:rsid w:val="00C8692C"/>
    <w:pPr>
      <w:tabs>
        <w:tab w:val="clear" w:pos="567"/>
      </w:tabs>
      <w:autoSpaceDE w:val="0"/>
      <w:autoSpaceDN w:val="0"/>
      <w:adjustRightInd w:val="0"/>
      <w:spacing w:after="0" w:line="181" w:lineRule="atLeast"/>
    </w:pPr>
    <w:rPr>
      <w:rFonts w:ascii="Gill Sans MT Pro Medium" w:eastAsiaTheme="minorHAnsi" w:hAnsi="Gill Sans MT Pro Medium" w:cstheme="minorBidi"/>
      <w:sz w:val="24"/>
      <w:szCs w:val="24"/>
    </w:rPr>
  </w:style>
  <w:style w:type="character" w:customStyle="1" w:styleId="UnresolvedMention1">
    <w:name w:val="Unresolved Mention1"/>
    <w:basedOn w:val="DefaultParagraphFont"/>
    <w:uiPriority w:val="99"/>
    <w:semiHidden/>
    <w:unhideWhenUsed/>
    <w:rsid w:val="00306FEC"/>
    <w:rPr>
      <w:color w:val="605E5C"/>
      <w:shd w:val="clear" w:color="auto" w:fill="E1DFDD"/>
    </w:rPr>
  </w:style>
  <w:style w:type="paragraph" w:customStyle="1" w:styleId="SingleTxt">
    <w:name w:val="__Single Txt"/>
    <w:basedOn w:val="Normal"/>
    <w:rsid w:val="00792E1D"/>
    <w:pPr>
      <w:tabs>
        <w:tab w:val="clear" w:pos="567"/>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hAnsi="Times New Roman"/>
      <w:spacing w:val="4"/>
      <w:w w:val="103"/>
      <w:kern w:val="14"/>
      <w:sz w:val="20"/>
      <w:szCs w:val="20"/>
      <w:lang w:val="en-GB"/>
    </w:rPr>
  </w:style>
  <w:style w:type="paragraph" w:customStyle="1" w:styleId="Disclaimer">
    <w:name w:val="Disclaimer"/>
    <w:basedOn w:val="Normal"/>
    <w:uiPriority w:val="99"/>
    <w:rsid w:val="00CF3E56"/>
    <w:pPr>
      <w:widowControl w:val="0"/>
      <w:tabs>
        <w:tab w:val="left" w:pos="283"/>
        <w:tab w:val="left" w:pos="850"/>
        <w:tab w:val="left" w:pos="1134"/>
        <w:tab w:val="left" w:pos="1417"/>
        <w:tab w:val="left" w:pos="1701"/>
      </w:tabs>
      <w:autoSpaceDE w:val="0"/>
      <w:autoSpaceDN w:val="0"/>
      <w:adjustRightInd w:val="0"/>
      <w:spacing w:before="120" w:after="120" w:line="240" w:lineRule="auto"/>
      <w:textAlignment w:val="center"/>
    </w:pPr>
    <w:rPr>
      <w:rFonts w:ascii="GillSans Light" w:eastAsia="MS Mincho" w:hAnsi="GillSans Light" w:cs="GillSans-Light"/>
      <w:color w:val="000000"/>
      <w:sz w:val="20"/>
      <w:szCs w:val="18"/>
      <w:lang w:val="en-GB"/>
    </w:rPr>
  </w:style>
  <w:style w:type="character" w:customStyle="1" w:styleId="FooterChar">
    <w:name w:val="Footer Char"/>
    <w:basedOn w:val="DefaultParagraphFont"/>
    <w:link w:val="Footer"/>
    <w:uiPriority w:val="99"/>
    <w:rsid w:val="007B7383"/>
    <w:rPr>
      <w:rFonts w:ascii="Gill Sans MT" w:hAnsi="Gill Sans MT"/>
      <w:sz w:val="16"/>
      <w:szCs w:val="16"/>
      <w:lang w:eastAsia="en-US"/>
    </w:rPr>
  </w:style>
  <w:style w:type="paragraph" w:customStyle="1" w:styleId="Pa5">
    <w:name w:val="Pa5"/>
    <w:basedOn w:val="Default"/>
    <w:next w:val="Default"/>
    <w:uiPriority w:val="99"/>
    <w:rsid w:val="007D2E3F"/>
    <w:pPr>
      <w:spacing w:line="191" w:lineRule="atLeast"/>
    </w:pPr>
    <w:rPr>
      <w:rFonts w:ascii="PXQRHX+HelveticaNeue" w:eastAsia="Times New Roman" w:hAnsi="PXQRHX+HelveticaNeue" w:cs="Times New Roman"/>
      <w:color w:val="auto"/>
      <w:lang w:eastAsia="en-AU"/>
    </w:rPr>
  </w:style>
  <w:style w:type="character" w:customStyle="1" w:styleId="A3">
    <w:name w:val="A3"/>
    <w:uiPriority w:val="99"/>
    <w:rsid w:val="006F16B1"/>
    <w:rPr>
      <w:rFonts w:cs="Open Sans Light"/>
      <w:color w:val="000000"/>
      <w:sz w:val="17"/>
      <w:szCs w:val="17"/>
    </w:rPr>
  </w:style>
  <w:style w:type="paragraph" w:customStyle="1" w:styleId="SourceFormat">
    <w:name w:val="Source Format"/>
    <w:basedOn w:val="Normal"/>
    <w:qFormat/>
    <w:rsid w:val="009122F5"/>
    <w:pPr>
      <w:tabs>
        <w:tab w:val="clear" w:pos="567"/>
      </w:tabs>
      <w:spacing w:before="60" w:after="60" w:line="240" w:lineRule="auto"/>
    </w:pPr>
    <w:rPr>
      <w:rFonts w:ascii="Arial" w:eastAsia="Calibri" w:hAnsi="Arial" w:cs="Arial"/>
      <w:sz w:val="16"/>
      <w:szCs w:val="14"/>
    </w:rPr>
  </w:style>
  <w:style w:type="paragraph" w:customStyle="1" w:styleId="ARfootnote">
    <w:name w:val="AR_footnote"/>
    <w:basedOn w:val="Normal"/>
    <w:link w:val="ARfootnoteChar"/>
    <w:autoRedefine/>
    <w:qFormat/>
    <w:rsid w:val="00A911D3"/>
    <w:pPr>
      <w:tabs>
        <w:tab w:val="clear" w:pos="567"/>
      </w:tabs>
      <w:spacing w:before="120" w:after="120" w:line="276" w:lineRule="auto"/>
      <w:jc w:val="both"/>
    </w:pPr>
    <w:rPr>
      <w:rFonts w:ascii="Arial" w:eastAsia="Calibri" w:hAnsi="Arial" w:cs="Arial"/>
      <w:sz w:val="16"/>
      <w:szCs w:val="14"/>
    </w:rPr>
  </w:style>
  <w:style w:type="character" w:customStyle="1" w:styleId="ARfootnoteChar">
    <w:name w:val="AR_footnote Char"/>
    <w:link w:val="ARfootnote"/>
    <w:rsid w:val="00A911D3"/>
    <w:rPr>
      <w:rFonts w:ascii="Arial" w:eastAsia="Calibri" w:hAnsi="Arial" w:cs="Arial"/>
      <w:sz w:val="16"/>
      <w:szCs w:val="14"/>
      <w:lang w:eastAsia="en-US"/>
    </w:rPr>
  </w:style>
  <w:style w:type="paragraph" w:customStyle="1" w:styleId="TableTitleformat">
    <w:name w:val="Table Title format"/>
    <w:basedOn w:val="Normal"/>
    <w:qFormat/>
    <w:rsid w:val="00A911D3"/>
    <w:pPr>
      <w:tabs>
        <w:tab w:val="clear" w:pos="567"/>
      </w:tabs>
      <w:spacing w:before="120" w:after="120" w:line="276" w:lineRule="auto"/>
    </w:pPr>
    <w:rPr>
      <w:rFonts w:ascii="Arial" w:eastAsia="Calibri" w:hAnsi="Arial"/>
      <w:caps/>
      <w:sz w:val="16"/>
    </w:rPr>
  </w:style>
  <w:style w:type="paragraph" w:styleId="z-TopofForm">
    <w:name w:val="HTML Top of Form"/>
    <w:basedOn w:val="Normal"/>
    <w:next w:val="Normal"/>
    <w:link w:val="z-TopofFormChar"/>
    <w:hidden/>
    <w:uiPriority w:val="99"/>
    <w:semiHidden/>
    <w:unhideWhenUsed/>
    <w:rsid w:val="00342243"/>
    <w:pPr>
      <w:pBdr>
        <w:bottom w:val="single" w:sz="6" w:space="1" w:color="auto"/>
      </w:pBdr>
      <w:tabs>
        <w:tab w:val="clear" w:pos="567"/>
      </w:tabs>
      <w:spacing w:after="0" w:line="240" w:lineRule="auto"/>
      <w:jc w:val="center"/>
    </w:pPr>
    <w:rPr>
      <w:rFonts w:ascii="Arial" w:hAnsi="Arial" w:cs="Arial"/>
      <w:vanish/>
      <w:sz w:val="16"/>
      <w:szCs w:val="16"/>
      <w:lang w:eastAsia="en-AU"/>
    </w:rPr>
  </w:style>
  <w:style w:type="character" w:customStyle="1" w:styleId="z-TopofFormChar">
    <w:name w:val="z-Top of Form Char"/>
    <w:basedOn w:val="DefaultParagraphFont"/>
    <w:link w:val="z-TopofForm"/>
    <w:uiPriority w:val="99"/>
    <w:semiHidden/>
    <w:rsid w:val="0034224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42243"/>
    <w:pPr>
      <w:pBdr>
        <w:top w:val="single" w:sz="6" w:space="1" w:color="auto"/>
      </w:pBdr>
      <w:tabs>
        <w:tab w:val="clear" w:pos="567"/>
      </w:tabs>
      <w:spacing w:after="0" w:line="240" w:lineRule="auto"/>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342243"/>
    <w:rPr>
      <w:rFonts w:ascii="Arial" w:hAnsi="Arial" w:cs="Arial"/>
      <w:vanish/>
      <w:sz w:val="16"/>
      <w:szCs w:val="16"/>
    </w:rPr>
  </w:style>
  <w:style w:type="character" w:styleId="UnresolvedMention">
    <w:name w:val="Unresolved Mention"/>
    <w:basedOn w:val="DefaultParagraphFont"/>
    <w:uiPriority w:val="99"/>
    <w:semiHidden/>
    <w:unhideWhenUsed/>
    <w:rsid w:val="00BD4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1389">
      <w:marLeft w:val="0"/>
      <w:marRight w:val="0"/>
      <w:marTop w:val="0"/>
      <w:marBottom w:val="0"/>
      <w:divBdr>
        <w:top w:val="none" w:sz="0" w:space="0" w:color="auto"/>
        <w:left w:val="none" w:sz="0" w:space="0" w:color="auto"/>
        <w:bottom w:val="none" w:sz="0" w:space="0" w:color="auto"/>
        <w:right w:val="none" w:sz="0" w:space="0" w:color="auto"/>
      </w:divBdr>
      <w:divsChild>
        <w:div w:id="175774482">
          <w:marLeft w:val="0"/>
          <w:marRight w:val="0"/>
          <w:marTop w:val="0"/>
          <w:marBottom w:val="0"/>
          <w:divBdr>
            <w:top w:val="none" w:sz="0" w:space="0" w:color="auto"/>
            <w:left w:val="none" w:sz="0" w:space="0" w:color="auto"/>
            <w:bottom w:val="none" w:sz="0" w:space="0" w:color="auto"/>
            <w:right w:val="none" w:sz="0" w:space="0" w:color="auto"/>
          </w:divBdr>
        </w:div>
      </w:divsChild>
    </w:div>
    <w:div w:id="49496995">
      <w:marLeft w:val="0"/>
      <w:marRight w:val="0"/>
      <w:marTop w:val="0"/>
      <w:marBottom w:val="0"/>
      <w:divBdr>
        <w:top w:val="none" w:sz="0" w:space="0" w:color="auto"/>
        <w:left w:val="none" w:sz="0" w:space="0" w:color="auto"/>
        <w:bottom w:val="none" w:sz="0" w:space="0" w:color="auto"/>
        <w:right w:val="none" w:sz="0" w:space="0" w:color="auto"/>
      </w:divBdr>
      <w:divsChild>
        <w:div w:id="2014801781">
          <w:marLeft w:val="0"/>
          <w:marRight w:val="0"/>
          <w:marTop w:val="0"/>
          <w:marBottom w:val="0"/>
          <w:divBdr>
            <w:top w:val="none" w:sz="0" w:space="0" w:color="auto"/>
            <w:left w:val="none" w:sz="0" w:space="0" w:color="auto"/>
            <w:bottom w:val="none" w:sz="0" w:space="0" w:color="auto"/>
            <w:right w:val="none" w:sz="0" w:space="0" w:color="auto"/>
          </w:divBdr>
        </w:div>
      </w:divsChild>
    </w:div>
    <w:div w:id="145783030">
      <w:marLeft w:val="0"/>
      <w:marRight w:val="0"/>
      <w:marTop w:val="0"/>
      <w:marBottom w:val="0"/>
      <w:divBdr>
        <w:top w:val="none" w:sz="0" w:space="0" w:color="auto"/>
        <w:left w:val="none" w:sz="0" w:space="0" w:color="auto"/>
        <w:bottom w:val="none" w:sz="0" w:space="0" w:color="auto"/>
        <w:right w:val="none" w:sz="0" w:space="0" w:color="auto"/>
      </w:divBdr>
    </w:div>
    <w:div w:id="178207100">
      <w:marLeft w:val="0"/>
      <w:marRight w:val="0"/>
      <w:marTop w:val="0"/>
      <w:marBottom w:val="0"/>
      <w:divBdr>
        <w:top w:val="none" w:sz="0" w:space="0" w:color="auto"/>
        <w:left w:val="none" w:sz="0" w:space="0" w:color="auto"/>
        <w:bottom w:val="none" w:sz="0" w:space="0" w:color="auto"/>
        <w:right w:val="none" w:sz="0" w:space="0" w:color="auto"/>
      </w:divBdr>
      <w:divsChild>
        <w:div w:id="1653679877">
          <w:marLeft w:val="0"/>
          <w:marRight w:val="0"/>
          <w:marTop w:val="0"/>
          <w:marBottom w:val="0"/>
          <w:divBdr>
            <w:top w:val="none" w:sz="0" w:space="0" w:color="auto"/>
            <w:left w:val="none" w:sz="0" w:space="0" w:color="auto"/>
            <w:bottom w:val="none" w:sz="0" w:space="0" w:color="auto"/>
            <w:right w:val="none" w:sz="0" w:space="0" w:color="auto"/>
          </w:divBdr>
        </w:div>
      </w:divsChild>
    </w:div>
    <w:div w:id="378626179">
      <w:bodyDiv w:val="1"/>
      <w:marLeft w:val="0"/>
      <w:marRight w:val="0"/>
      <w:marTop w:val="0"/>
      <w:marBottom w:val="0"/>
      <w:divBdr>
        <w:top w:val="none" w:sz="0" w:space="0" w:color="auto"/>
        <w:left w:val="none" w:sz="0" w:space="0" w:color="auto"/>
        <w:bottom w:val="none" w:sz="0" w:space="0" w:color="auto"/>
        <w:right w:val="none" w:sz="0" w:space="0" w:color="auto"/>
      </w:divBdr>
    </w:div>
    <w:div w:id="414396746">
      <w:marLeft w:val="0"/>
      <w:marRight w:val="0"/>
      <w:marTop w:val="0"/>
      <w:marBottom w:val="0"/>
      <w:divBdr>
        <w:top w:val="none" w:sz="0" w:space="0" w:color="auto"/>
        <w:left w:val="none" w:sz="0" w:space="0" w:color="auto"/>
        <w:bottom w:val="none" w:sz="0" w:space="0" w:color="auto"/>
        <w:right w:val="none" w:sz="0" w:space="0" w:color="auto"/>
      </w:divBdr>
      <w:divsChild>
        <w:div w:id="124392133">
          <w:marLeft w:val="0"/>
          <w:marRight w:val="0"/>
          <w:marTop w:val="0"/>
          <w:marBottom w:val="0"/>
          <w:divBdr>
            <w:top w:val="none" w:sz="0" w:space="0" w:color="auto"/>
            <w:left w:val="none" w:sz="0" w:space="0" w:color="auto"/>
            <w:bottom w:val="none" w:sz="0" w:space="0" w:color="auto"/>
            <w:right w:val="none" w:sz="0" w:space="0" w:color="auto"/>
          </w:divBdr>
        </w:div>
      </w:divsChild>
    </w:div>
    <w:div w:id="435443585">
      <w:marLeft w:val="0"/>
      <w:marRight w:val="0"/>
      <w:marTop w:val="0"/>
      <w:marBottom w:val="0"/>
      <w:divBdr>
        <w:top w:val="none" w:sz="0" w:space="0" w:color="auto"/>
        <w:left w:val="none" w:sz="0" w:space="0" w:color="auto"/>
        <w:bottom w:val="none" w:sz="0" w:space="0" w:color="auto"/>
        <w:right w:val="none" w:sz="0" w:space="0" w:color="auto"/>
      </w:divBdr>
      <w:divsChild>
        <w:div w:id="594635103">
          <w:marLeft w:val="0"/>
          <w:marRight w:val="0"/>
          <w:marTop w:val="0"/>
          <w:marBottom w:val="0"/>
          <w:divBdr>
            <w:top w:val="none" w:sz="0" w:space="0" w:color="auto"/>
            <w:left w:val="none" w:sz="0" w:space="0" w:color="auto"/>
            <w:bottom w:val="none" w:sz="0" w:space="0" w:color="auto"/>
            <w:right w:val="none" w:sz="0" w:space="0" w:color="auto"/>
          </w:divBdr>
        </w:div>
      </w:divsChild>
    </w:div>
    <w:div w:id="501432532">
      <w:marLeft w:val="0"/>
      <w:marRight w:val="0"/>
      <w:marTop w:val="0"/>
      <w:marBottom w:val="0"/>
      <w:divBdr>
        <w:top w:val="none" w:sz="0" w:space="0" w:color="auto"/>
        <w:left w:val="none" w:sz="0" w:space="0" w:color="auto"/>
        <w:bottom w:val="none" w:sz="0" w:space="0" w:color="auto"/>
        <w:right w:val="none" w:sz="0" w:space="0" w:color="auto"/>
      </w:divBdr>
    </w:div>
    <w:div w:id="588737323">
      <w:marLeft w:val="0"/>
      <w:marRight w:val="0"/>
      <w:marTop w:val="0"/>
      <w:marBottom w:val="0"/>
      <w:divBdr>
        <w:top w:val="none" w:sz="0" w:space="0" w:color="auto"/>
        <w:left w:val="none" w:sz="0" w:space="0" w:color="auto"/>
        <w:bottom w:val="none" w:sz="0" w:space="0" w:color="auto"/>
        <w:right w:val="none" w:sz="0" w:space="0" w:color="auto"/>
      </w:divBdr>
      <w:divsChild>
        <w:div w:id="406655135">
          <w:marLeft w:val="0"/>
          <w:marRight w:val="0"/>
          <w:marTop w:val="0"/>
          <w:marBottom w:val="0"/>
          <w:divBdr>
            <w:top w:val="none" w:sz="0" w:space="0" w:color="auto"/>
            <w:left w:val="none" w:sz="0" w:space="0" w:color="auto"/>
            <w:bottom w:val="none" w:sz="0" w:space="0" w:color="auto"/>
            <w:right w:val="none" w:sz="0" w:space="0" w:color="auto"/>
          </w:divBdr>
        </w:div>
      </w:divsChild>
    </w:div>
    <w:div w:id="614749814">
      <w:marLeft w:val="0"/>
      <w:marRight w:val="0"/>
      <w:marTop w:val="0"/>
      <w:marBottom w:val="0"/>
      <w:divBdr>
        <w:top w:val="none" w:sz="0" w:space="0" w:color="auto"/>
        <w:left w:val="none" w:sz="0" w:space="0" w:color="auto"/>
        <w:bottom w:val="none" w:sz="0" w:space="0" w:color="auto"/>
        <w:right w:val="none" w:sz="0" w:space="0" w:color="auto"/>
      </w:divBdr>
      <w:divsChild>
        <w:div w:id="430860917">
          <w:marLeft w:val="0"/>
          <w:marRight w:val="0"/>
          <w:marTop w:val="0"/>
          <w:marBottom w:val="0"/>
          <w:divBdr>
            <w:top w:val="none" w:sz="0" w:space="0" w:color="auto"/>
            <w:left w:val="none" w:sz="0" w:space="0" w:color="auto"/>
            <w:bottom w:val="none" w:sz="0" w:space="0" w:color="auto"/>
            <w:right w:val="none" w:sz="0" w:space="0" w:color="auto"/>
          </w:divBdr>
        </w:div>
      </w:divsChild>
    </w:div>
    <w:div w:id="635184439">
      <w:marLeft w:val="0"/>
      <w:marRight w:val="0"/>
      <w:marTop w:val="0"/>
      <w:marBottom w:val="0"/>
      <w:divBdr>
        <w:top w:val="none" w:sz="0" w:space="0" w:color="auto"/>
        <w:left w:val="none" w:sz="0" w:space="0" w:color="auto"/>
        <w:bottom w:val="none" w:sz="0" w:space="0" w:color="auto"/>
        <w:right w:val="none" w:sz="0" w:space="0" w:color="auto"/>
      </w:divBdr>
      <w:divsChild>
        <w:div w:id="573124352">
          <w:marLeft w:val="0"/>
          <w:marRight w:val="0"/>
          <w:marTop w:val="0"/>
          <w:marBottom w:val="0"/>
          <w:divBdr>
            <w:top w:val="none" w:sz="0" w:space="0" w:color="auto"/>
            <w:left w:val="none" w:sz="0" w:space="0" w:color="auto"/>
            <w:bottom w:val="none" w:sz="0" w:space="0" w:color="auto"/>
            <w:right w:val="none" w:sz="0" w:space="0" w:color="auto"/>
          </w:divBdr>
        </w:div>
      </w:divsChild>
    </w:div>
    <w:div w:id="677774309">
      <w:bodyDiv w:val="1"/>
      <w:marLeft w:val="0"/>
      <w:marRight w:val="0"/>
      <w:marTop w:val="0"/>
      <w:marBottom w:val="0"/>
      <w:divBdr>
        <w:top w:val="none" w:sz="0" w:space="0" w:color="auto"/>
        <w:left w:val="none" w:sz="0" w:space="0" w:color="auto"/>
        <w:bottom w:val="none" w:sz="0" w:space="0" w:color="auto"/>
        <w:right w:val="none" w:sz="0" w:space="0" w:color="auto"/>
      </w:divBdr>
    </w:div>
    <w:div w:id="929656953">
      <w:marLeft w:val="0"/>
      <w:marRight w:val="0"/>
      <w:marTop w:val="0"/>
      <w:marBottom w:val="0"/>
      <w:divBdr>
        <w:top w:val="none" w:sz="0" w:space="0" w:color="auto"/>
        <w:left w:val="none" w:sz="0" w:space="0" w:color="auto"/>
        <w:bottom w:val="none" w:sz="0" w:space="0" w:color="auto"/>
        <w:right w:val="none" w:sz="0" w:space="0" w:color="auto"/>
      </w:divBdr>
      <w:divsChild>
        <w:div w:id="13194551">
          <w:marLeft w:val="0"/>
          <w:marRight w:val="0"/>
          <w:marTop w:val="0"/>
          <w:marBottom w:val="0"/>
          <w:divBdr>
            <w:top w:val="none" w:sz="0" w:space="0" w:color="auto"/>
            <w:left w:val="none" w:sz="0" w:space="0" w:color="auto"/>
            <w:bottom w:val="none" w:sz="0" w:space="0" w:color="auto"/>
            <w:right w:val="none" w:sz="0" w:space="0" w:color="auto"/>
          </w:divBdr>
        </w:div>
      </w:divsChild>
    </w:div>
    <w:div w:id="992833857">
      <w:marLeft w:val="0"/>
      <w:marRight w:val="0"/>
      <w:marTop w:val="0"/>
      <w:marBottom w:val="0"/>
      <w:divBdr>
        <w:top w:val="none" w:sz="0" w:space="0" w:color="auto"/>
        <w:left w:val="none" w:sz="0" w:space="0" w:color="auto"/>
        <w:bottom w:val="none" w:sz="0" w:space="0" w:color="auto"/>
        <w:right w:val="none" w:sz="0" w:space="0" w:color="auto"/>
      </w:divBdr>
      <w:divsChild>
        <w:div w:id="1255438663">
          <w:marLeft w:val="0"/>
          <w:marRight w:val="0"/>
          <w:marTop w:val="0"/>
          <w:marBottom w:val="0"/>
          <w:divBdr>
            <w:top w:val="none" w:sz="0" w:space="0" w:color="auto"/>
            <w:left w:val="none" w:sz="0" w:space="0" w:color="auto"/>
            <w:bottom w:val="none" w:sz="0" w:space="0" w:color="auto"/>
            <w:right w:val="none" w:sz="0" w:space="0" w:color="auto"/>
          </w:divBdr>
        </w:div>
      </w:divsChild>
    </w:div>
    <w:div w:id="1041249104">
      <w:marLeft w:val="0"/>
      <w:marRight w:val="0"/>
      <w:marTop w:val="0"/>
      <w:marBottom w:val="0"/>
      <w:divBdr>
        <w:top w:val="none" w:sz="0" w:space="0" w:color="auto"/>
        <w:left w:val="none" w:sz="0" w:space="0" w:color="auto"/>
        <w:bottom w:val="none" w:sz="0" w:space="0" w:color="auto"/>
        <w:right w:val="none" w:sz="0" w:space="0" w:color="auto"/>
      </w:divBdr>
      <w:divsChild>
        <w:div w:id="2048334978">
          <w:marLeft w:val="0"/>
          <w:marRight w:val="0"/>
          <w:marTop w:val="0"/>
          <w:marBottom w:val="0"/>
          <w:divBdr>
            <w:top w:val="none" w:sz="0" w:space="0" w:color="auto"/>
            <w:left w:val="none" w:sz="0" w:space="0" w:color="auto"/>
            <w:bottom w:val="none" w:sz="0" w:space="0" w:color="auto"/>
            <w:right w:val="none" w:sz="0" w:space="0" w:color="auto"/>
          </w:divBdr>
        </w:div>
      </w:divsChild>
    </w:div>
    <w:div w:id="1046178844">
      <w:marLeft w:val="0"/>
      <w:marRight w:val="0"/>
      <w:marTop w:val="0"/>
      <w:marBottom w:val="0"/>
      <w:divBdr>
        <w:top w:val="none" w:sz="0" w:space="0" w:color="auto"/>
        <w:left w:val="none" w:sz="0" w:space="0" w:color="auto"/>
        <w:bottom w:val="none" w:sz="0" w:space="0" w:color="auto"/>
        <w:right w:val="none" w:sz="0" w:space="0" w:color="auto"/>
      </w:divBdr>
      <w:divsChild>
        <w:div w:id="344554042">
          <w:marLeft w:val="0"/>
          <w:marRight w:val="0"/>
          <w:marTop w:val="0"/>
          <w:marBottom w:val="0"/>
          <w:divBdr>
            <w:top w:val="none" w:sz="0" w:space="0" w:color="auto"/>
            <w:left w:val="none" w:sz="0" w:space="0" w:color="auto"/>
            <w:bottom w:val="none" w:sz="0" w:space="0" w:color="auto"/>
            <w:right w:val="none" w:sz="0" w:space="0" w:color="auto"/>
          </w:divBdr>
        </w:div>
      </w:divsChild>
    </w:div>
    <w:div w:id="1055397669">
      <w:bodyDiv w:val="1"/>
      <w:marLeft w:val="0"/>
      <w:marRight w:val="0"/>
      <w:marTop w:val="0"/>
      <w:marBottom w:val="0"/>
      <w:divBdr>
        <w:top w:val="none" w:sz="0" w:space="0" w:color="auto"/>
        <w:left w:val="none" w:sz="0" w:space="0" w:color="auto"/>
        <w:bottom w:val="none" w:sz="0" w:space="0" w:color="auto"/>
        <w:right w:val="none" w:sz="0" w:space="0" w:color="auto"/>
      </w:divBdr>
    </w:div>
    <w:div w:id="1085881744">
      <w:marLeft w:val="0"/>
      <w:marRight w:val="0"/>
      <w:marTop w:val="0"/>
      <w:marBottom w:val="0"/>
      <w:divBdr>
        <w:top w:val="none" w:sz="0" w:space="0" w:color="auto"/>
        <w:left w:val="none" w:sz="0" w:space="0" w:color="auto"/>
        <w:bottom w:val="none" w:sz="0" w:space="0" w:color="auto"/>
        <w:right w:val="none" w:sz="0" w:space="0" w:color="auto"/>
      </w:divBdr>
      <w:divsChild>
        <w:div w:id="948467131">
          <w:marLeft w:val="0"/>
          <w:marRight w:val="0"/>
          <w:marTop w:val="0"/>
          <w:marBottom w:val="0"/>
          <w:divBdr>
            <w:top w:val="none" w:sz="0" w:space="0" w:color="auto"/>
            <w:left w:val="none" w:sz="0" w:space="0" w:color="auto"/>
            <w:bottom w:val="none" w:sz="0" w:space="0" w:color="auto"/>
            <w:right w:val="none" w:sz="0" w:space="0" w:color="auto"/>
          </w:divBdr>
        </w:div>
      </w:divsChild>
    </w:div>
    <w:div w:id="1117061941">
      <w:marLeft w:val="0"/>
      <w:marRight w:val="0"/>
      <w:marTop w:val="0"/>
      <w:marBottom w:val="0"/>
      <w:divBdr>
        <w:top w:val="none" w:sz="0" w:space="0" w:color="auto"/>
        <w:left w:val="none" w:sz="0" w:space="0" w:color="auto"/>
        <w:bottom w:val="none" w:sz="0" w:space="0" w:color="auto"/>
        <w:right w:val="none" w:sz="0" w:space="0" w:color="auto"/>
      </w:divBdr>
      <w:divsChild>
        <w:div w:id="241256812">
          <w:marLeft w:val="0"/>
          <w:marRight w:val="0"/>
          <w:marTop w:val="0"/>
          <w:marBottom w:val="0"/>
          <w:divBdr>
            <w:top w:val="none" w:sz="0" w:space="0" w:color="auto"/>
            <w:left w:val="none" w:sz="0" w:space="0" w:color="auto"/>
            <w:bottom w:val="none" w:sz="0" w:space="0" w:color="auto"/>
            <w:right w:val="none" w:sz="0" w:space="0" w:color="auto"/>
          </w:divBdr>
        </w:div>
      </w:divsChild>
    </w:div>
    <w:div w:id="1178930268">
      <w:marLeft w:val="0"/>
      <w:marRight w:val="0"/>
      <w:marTop w:val="0"/>
      <w:marBottom w:val="0"/>
      <w:divBdr>
        <w:top w:val="none" w:sz="0" w:space="0" w:color="auto"/>
        <w:left w:val="none" w:sz="0" w:space="0" w:color="auto"/>
        <w:bottom w:val="none" w:sz="0" w:space="0" w:color="auto"/>
        <w:right w:val="none" w:sz="0" w:space="0" w:color="auto"/>
      </w:divBdr>
      <w:divsChild>
        <w:div w:id="1341390926">
          <w:marLeft w:val="0"/>
          <w:marRight w:val="0"/>
          <w:marTop w:val="0"/>
          <w:marBottom w:val="0"/>
          <w:divBdr>
            <w:top w:val="none" w:sz="0" w:space="0" w:color="auto"/>
            <w:left w:val="none" w:sz="0" w:space="0" w:color="auto"/>
            <w:bottom w:val="none" w:sz="0" w:space="0" w:color="auto"/>
            <w:right w:val="none" w:sz="0" w:space="0" w:color="auto"/>
          </w:divBdr>
        </w:div>
      </w:divsChild>
    </w:div>
    <w:div w:id="1194151004">
      <w:marLeft w:val="0"/>
      <w:marRight w:val="0"/>
      <w:marTop w:val="0"/>
      <w:marBottom w:val="0"/>
      <w:divBdr>
        <w:top w:val="none" w:sz="0" w:space="0" w:color="auto"/>
        <w:left w:val="none" w:sz="0" w:space="0" w:color="auto"/>
        <w:bottom w:val="none" w:sz="0" w:space="0" w:color="auto"/>
        <w:right w:val="none" w:sz="0" w:space="0" w:color="auto"/>
      </w:divBdr>
      <w:divsChild>
        <w:div w:id="2128888048">
          <w:marLeft w:val="0"/>
          <w:marRight w:val="0"/>
          <w:marTop w:val="0"/>
          <w:marBottom w:val="0"/>
          <w:divBdr>
            <w:top w:val="none" w:sz="0" w:space="0" w:color="auto"/>
            <w:left w:val="none" w:sz="0" w:space="0" w:color="auto"/>
            <w:bottom w:val="none" w:sz="0" w:space="0" w:color="auto"/>
            <w:right w:val="none" w:sz="0" w:space="0" w:color="auto"/>
          </w:divBdr>
        </w:div>
      </w:divsChild>
    </w:div>
    <w:div w:id="1199198399">
      <w:marLeft w:val="0"/>
      <w:marRight w:val="0"/>
      <w:marTop w:val="0"/>
      <w:marBottom w:val="0"/>
      <w:divBdr>
        <w:top w:val="none" w:sz="0" w:space="0" w:color="auto"/>
        <w:left w:val="none" w:sz="0" w:space="0" w:color="auto"/>
        <w:bottom w:val="none" w:sz="0" w:space="0" w:color="auto"/>
        <w:right w:val="none" w:sz="0" w:space="0" w:color="auto"/>
      </w:divBdr>
      <w:divsChild>
        <w:div w:id="1186405460">
          <w:marLeft w:val="0"/>
          <w:marRight w:val="0"/>
          <w:marTop w:val="0"/>
          <w:marBottom w:val="0"/>
          <w:divBdr>
            <w:top w:val="none" w:sz="0" w:space="0" w:color="auto"/>
            <w:left w:val="none" w:sz="0" w:space="0" w:color="auto"/>
            <w:bottom w:val="none" w:sz="0" w:space="0" w:color="auto"/>
            <w:right w:val="none" w:sz="0" w:space="0" w:color="auto"/>
          </w:divBdr>
        </w:div>
      </w:divsChild>
    </w:div>
    <w:div w:id="1213736710">
      <w:marLeft w:val="0"/>
      <w:marRight w:val="0"/>
      <w:marTop w:val="0"/>
      <w:marBottom w:val="0"/>
      <w:divBdr>
        <w:top w:val="none" w:sz="0" w:space="0" w:color="auto"/>
        <w:left w:val="none" w:sz="0" w:space="0" w:color="auto"/>
        <w:bottom w:val="none" w:sz="0" w:space="0" w:color="auto"/>
        <w:right w:val="none" w:sz="0" w:space="0" w:color="auto"/>
      </w:divBdr>
      <w:divsChild>
        <w:div w:id="953749607">
          <w:marLeft w:val="0"/>
          <w:marRight w:val="0"/>
          <w:marTop w:val="0"/>
          <w:marBottom w:val="0"/>
          <w:divBdr>
            <w:top w:val="none" w:sz="0" w:space="0" w:color="auto"/>
            <w:left w:val="none" w:sz="0" w:space="0" w:color="auto"/>
            <w:bottom w:val="none" w:sz="0" w:space="0" w:color="auto"/>
            <w:right w:val="none" w:sz="0" w:space="0" w:color="auto"/>
          </w:divBdr>
        </w:div>
      </w:divsChild>
    </w:div>
    <w:div w:id="1216965350">
      <w:bodyDiv w:val="1"/>
      <w:marLeft w:val="0"/>
      <w:marRight w:val="0"/>
      <w:marTop w:val="0"/>
      <w:marBottom w:val="0"/>
      <w:divBdr>
        <w:top w:val="none" w:sz="0" w:space="0" w:color="auto"/>
        <w:left w:val="none" w:sz="0" w:space="0" w:color="auto"/>
        <w:bottom w:val="none" w:sz="0" w:space="0" w:color="auto"/>
        <w:right w:val="none" w:sz="0" w:space="0" w:color="auto"/>
      </w:divBdr>
      <w:divsChild>
        <w:div w:id="116144544">
          <w:marLeft w:val="0"/>
          <w:marRight w:val="0"/>
          <w:marTop w:val="0"/>
          <w:marBottom w:val="0"/>
          <w:divBdr>
            <w:top w:val="none" w:sz="0" w:space="0" w:color="auto"/>
            <w:left w:val="none" w:sz="0" w:space="0" w:color="auto"/>
            <w:bottom w:val="none" w:sz="0" w:space="0" w:color="auto"/>
            <w:right w:val="none" w:sz="0" w:space="0" w:color="auto"/>
          </w:divBdr>
          <w:divsChild>
            <w:div w:id="1400786883">
              <w:marLeft w:val="0"/>
              <w:marRight w:val="0"/>
              <w:marTop w:val="0"/>
              <w:marBottom w:val="0"/>
              <w:divBdr>
                <w:top w:val="none" w:sz="0" w:space="0" w:color="auto"/>
                <w:left w:val="none" w:sz="0" w:space="0" w:color="auto"/>
                <w:bottom w:val="none" w:sz="0" w:space="0" w:color="auto"/>
                <w:right w:val="none" w:sz="0" w:space="0" w:color="auto"/>
              </w:divBdr>
              <w:divsChild>
                <w:div w:id="1530994949">
                  <w:marLeft w:val="0"/>
                  <w:marRight w:val="0"/>
                  <w:marTop w:val="0"/>
                  <w:marBottom w:val="0"/>
                  <w:divBdr>
                    <w:top w:val="none" w:sz="0" w:space="0" w:color="auto"/>
                    <w:left w:val="none" w:sz="0" w:space="0" w:color="auto"/>
                    <w:bottom w:val="none" w:sz="0" w:space="0" w:color="auto"/>
                    <w:right w:val="none" w:sz="0" w:space="0" w:color="auto"/>
                  </w:divBdr>
                  <w:divsChild>
                    <w:div w:id="2134247030">
                      <w:marLeft w:val="0"/>
                      <w:marRight w:val="0"/>
                      <w:marTop w:val="0"/>
                      <w:marBottom w:val="0"/>
                      <w:divBdr>
                        <w:top w:val="none" w:sz="0" w:space="0" w:color="auto"/>
                        <w:left w:val="none" w:sz="0" w:space="0" w:color="auto"/>
                        <w:bottom w:val="none" w:sz="0" w:space="0" w:color="auto"/>
                        <w:right w:val="none" w:sz="0" w:space="0" w:color="auto"/>
                      </w:divBdr>
                      <w:divsChild>
                        <w:div w:id="351079525">
                          <w:marLeft w:val="0"/>
                          <w:marRight w:val="0"/>
                          <w:marTop w:val="0"/>
                          <w:marBottom w:val="0"/>
                          <w:divBdr>
                            <w:top w:val="none" w:sz="0" w:space="0" w:color="auto"/>
                            <w:left w:val="none" w:sz="0" w:space="0" w:color="auto"/>
                            <w:bottom w:val="none" w:sz="0" w:space="0" w:color="auto"/>
                            <w:right w:val="none" w:sz="0" w:space="0" w:color="auto"/>
                          </w:divBdr>
                          <w:divsChild>
                            <w:div w:id="142796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937254">
      <w:marLeft w:val="0"/>
      <w:marRight w:val="0"/>
      <w:marTop w:val="0"/>
      <w:marBottom w:val="0"/>
      <w:divBdr>
        <w:top w:val="none" w:sz="0" w:space="0" w:color="auto"/>
        <w:left w:val="none" w:sz="0" w:space="0" w:color="auto"/>
        <w:bottom w:val="none" w:sz="0" w:space="0" w:color="auto"/>
        <w:right w:val="none" w:sz="0" w:space="0" w:color="auto"/>
      </w:divBdr>
      <w:divsChild>
        <w:div w:id="1662850634">
          <w:marLeft w:val="0"/>
          <w:marRight w:val="0"/>
          <w:marTop w:val="0"/>
          <w:marBottom w:val="0"/>
          <w:divBdr>
            <w:top w:val="none" w:sz="0" w:space="0" w:color="auto"/>
            <w:left w:val="none" w:sz="0" w:space="0" w:color="auto"/>
            <w:bottom w:val="none" w:sz="0" w:space="0" w:color="auto"/>
            <w:right w:val="none" w:sz="0" w:space="0" w:color="auto"/>
          </w:divBdr>
          <w:divsChild>
            <w:div w:id="1372225290">
              <w:marLeft w:val="0"/>
              <w:marRight w:val="0"/>
              <w:marTop w:val="0"/>
              <w:marBottom w:val="0"/>
              <w:divBdr>
                <w:top w:val="none" w:sz="0" w:space="0" w:color="auto"/>
                <w:left w:val="none" w:sz="0" w:space="0" w:color="auto"/>
                <w:bottom w:val="none" w:sz="0" w:space="0" w:color="auto"/>
                <w:right w:val="none" w:sz="0" w:space="0" w:color="auto"/>
              </w:divBdr>
            </w:div>
          </w:divsChild>
        </w:div>
        <w:div w:id="746147679">
          <w:marLeft w:val="0"/>
          <w:marRight w:val="0"/>
          <w:marTop w:val="0"/>
          <w:marBottom w:val="0"/>
          <w:divBdr>
            <w:top w:val="none" w:sz="0" w:space="0" w:color="auto"/>
            <w:left w:val="none" w:sz="0" w:space="0" w:color="auto"/>
            <w:bottom w:val="none" w:sz="0" w:space="0" w:color="auto"/>
            <w:right w:val="none" w:sz="0" w:space="0" w:color="auto"/>
          </w:divBdr>
        </w:div>
        <w:div w:id="2140300167">
          <w:marLeft w:val="0"/>
          <w:marRight w:val="0"/>
          <w:marTop w:val="0"/>
          <w:marBottom w:val="0"/>
          <w:divBdr>
            <w:top w:val="none" w:sz="0" w:space="0" w:color="auto"/>
            <w:left w:val="none" w:sz="0" w:space="0" w:color="auto"/>
            <w:bottom w:val="none" w:sz="0" w:space="0" w:color="auto"/>
            <w:right w:val="none" w:sz="0" w:space="0" w:color="auto"/>
          </w:divBdr>
        </w:div>
      </w:divsChild>
    </w:div>
    <w:div w:id="1446734176">
      <w:bodyDiv w:val="1"/>
      <w:marLeft w:val="0"/>
      <w:marRight w:val="0"/>
      <w:marTop w:val="0"/>
      <w:marBottom w:val="0"/>
      <w:divBdr>
        <w:top w:val="none" w:sz="0" w:space="0" w:color="auto"/>
        <w:left w:val="none" w:sz="0" w:space="0" w:color="auto"/>
        <w:bottom w:val="none" w:sz="0" w:space="0" w:color="auto"/>
        <w:right w:val="none" w:sz="0" w:space="0" w:color="auto"/>
      </w:divBdr>
      <w:divsChild>
        <w:div w:id="303119867">
          <w:marLeft w:val="0"/>
          <w:marRight w:val="0"/>
          <w:marTop w:val="975"/>
          <w:marBottom w:val="0"/>
          <w:divBdr>
            <w:top w:val="none" w:sz="0" w:space="0" w:color="auto"/>
            <w:left w:val="none" w:sz="0" w:space="0" w:color="auto"/>
            <w:bottom w:val="none" w:sz="0" w:space="0" w:color="auto"/>
            <w:right w:val="none" w:sz="0" w:space="0" w:color="auto"/>
          </w:divBdr>
          <w:divsChild>
            <w:div w:id="358431812">
              <w:marLeft w:val="0"/>
              <w:marRight w:val="0"/>
              <w:marTop w:val="0"/>
              <w:marBottom w:val="0"/>
              <w:divBdr>
                <w:top w:val="none" w:sz="0" w:space="0" w:color="auto"/>
                <w:left w:val="none" w:sz="0" w:space="0" w:color="auto"/>
                <w:bottom w:val="none" w:sz="0" w:space="0" w:color="auto"/>
                <w:right w:val="none" w:sz="0" w:space="0" w:color="auto"/>
              </w:divBdr>
              <w:divsChild>
                <w:div w:id="1155343553">
                  <w:marLeft w:val="0"/>
                  <w:marRight w:val="0"/>
                  <w:marTop w:val="0"/>
                  <w:marBottom w:val="0"/>
                  <w:divBdr>
                    <w:top w:val="none" w:sz="0" w:space="0" w:color="auto"/>
                    <w:left w:val="none" w:sz="0" w:space="0" w:color="auto"/>
                    <w:bottom w:val="none" w:sz="0" w:space="0" w:color="auto"/>
                    <w:right w:val="none" w:sz="0" w:space="0" w:color="auto"/>
                  </w:divBdr>
                  <w:divsChild>
                    <w:div w:id="386732198">
                      <w:marLeft w:val="0"/>
                      <w:marRight w:val="0"/>
                      <w:marTop w:val="0"/>
                      <w:marBottom w:val="0"/>
                      <w:divBdr>
                        <w:top w:val="none" w:sz="0" w:space="0" w:color="auto"/>
                        <w:left w:val="none" w:sz="0" w:space="0" w:color="auto"/>
                        <w:bottom w:val="none" w:sz="0" w:space="0" w:color="auto"/>
                        <w:right w:val="none" w:sz="0" w:space="0" w:color="auto"/>
                      </w:divBdr>
                      <w:divsChild>
                        <w:div w:id="1890680328">
                          <w:marLeft w:val="0"/>
                          <w:marRight w:val="0"/>
                          <w:marTop w:val="0"/>
                          <w:marBottom w:val="0"/>
                          <w:divBdr>
                            <w:top w:val="none" w:sz="0" w:space="0" w:color="auto"/>
                            <w:left w:val="none" w:sz="0" w:space="0" w:color="auto"/>
                            <w:bottom w:val="none" w:sz="0" w:space="0" w:color="auto"/>
                            <w:right w:val="none" w:sz="0" w:space="0" w:color="auto"/>
                          </w:divBdr>
                          <w:divsChild>
                            <w:div w:id="1600285947">
                              <w:marLeft w:val="0"/>
                              <w:marRight w:val="0"/>
                              <w:marTop w:val="0"/>
                              <w:marBottom w:val="0"/>
                              <w:divBdr>
                                <w:top w:val="none" w:sz="0" w:space="0" w:color="auto"/>
                                <w:left w:val="none" w:sz="0" w:space="0" w:color="auto"/>
                                <w:bottom w:val="none" w:sz="0" w:space="0" w:color="auto"/>
                                <w:right w:val="none" w:sz="0" w:space="0" w:color="auto"/>
                              </w:divBdr>
                              <w:divsChild>
                                <w:div w:id="1643853670">
                                  <w:marLeft w:val="0"/>
                                  <w:marRight w:val="0"/>
                                  <w:marTop w:val="0"/>
                                  <w:marBottom w:val="0"/>
                                  <w:divBdr>
                                    <w:top w:val="none" w:sz="0" w:space="0" w:color="auto"/>
                                    <w:left w:val="none" w:sz="0" w:space="0" w:color="auto"/>
                                    <w:bottom w:val="none" w:sz="0" w:space="0" w:color="auto"/>
                                    <w:right w:val="none" w:sz="0" w:space="0" w:color="auto"/>
                                  </w:divBdr>
                                  <w:divsChild>
                                    <w:div w:id="14876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892333">
      <w:bodyDiv w:val="1"/>
      <w:marLeft w:val="0"/>
      <w:marRight w:val="0"/>
      <w:marTop w:val="0"/>
      <w:marBottom w:val="0"/>
      <w:divBdr>
        <w:top w:val="none" w:sz="0" w:space="0" w:color="auto"/>
        <w:left w:val="none" w:sz="0" w:space="0" w:color="auto"/>
        <w:bottom w:val="none" w:sz="0" w:space="0" w:color="auto"/>
        <w:right w:val="none" w:sz="0" w:space="0" w:color="auto"/>
      </w:divBdr>
    </w:div>
    <w:div w:id="1612974247">
      <w:marLeft w:val="0"/>
      <w:marRight w:val="0"/>
      <w:marTop w:val="0"/>
      <w:marBottom w:val="0"/>
      <w:divBdr>
        <w:top w:val="none" w:sz="0" w:space="0" w:color="auto"/>
        <w:left w:val="none" w:sz="0" w:space="0" w:color="auto"/>
        <w:bottom w:val="none" w:sz="0" w:space="0" w:color="auto"/>
        <w:right w:val="none" w:sz="0" w:space="0" w:color="auto"/>
      </w:divBdr>
      <w:divsChild>
        <w:div w:id="1416593236">
          <w:marLeft w:val="0"/>
          <w:marRight w:val="0"/>
          <w:marTop w:val="0"/>
          <w:marBottom w:val="0"/>
          <w:divBdr>
            <w:top w:val="none" w:sz="0" w:space="0" w:color="auto"/>
            <w:left w:val="none" w:sz="0" w:space="0" w:color="auto"/>
            <w:bottom w:val="none" w:sz="0" w:space="0" w:color="auto"/>
            <w:right w:val="none" w:sz="0" w:space="0" w:color="auto"/>
          </w:divBdr>
        </w:div>
      </w:divsChild>
    </w:div>
    <w:div w:id="1618559518">
      <w:marLeft w:val="0"/>
      <w:marRight w:val="0"/>
      <w:marTop w:val="0"/>
      <w:marBottom w:val="0"/>
      <w:divBdr>
        <w:top w:val="none" w:sz="0" w:space="0" w:color="auto"/>
        <w:left w:val="none" w:sz="0" w:space="0" w:color="auto"/>
        <w:bottom w:val="none" w:sz="0" w:space="0" w:color="auto"/>
        <w:right w:val="none" w:sz="0" w:space="0" w:color="auto"/>
      </w:divBdr>
      <w:divsChild>
        <w:div w:id="426270822">
          <w:marLeft w:val="0"/>
          <w:marRight w:val="0"/>
          <w:marTop w:val="0"/>
          <w:marBottom w:val="0"/>
          <w:divBdr>
            <w:top w:val="none" w:sz="0" w:space="0" w:color="auto"/>
            <w:left w:val="none" w:sz="0" w:space="0" w:color="auto"/>
            <w:bottom w:val="none" w:sz="0" w:space="0" w:color="auto"/>
            <w:right w:val="none" w:sz="0" w:space="0" w:color="auto"/>
          </w:divBdr>
        </w:div>
      </w:divsChild>
    </w:div>
    <w:div w:id="1774980367">
      <w:bodyDiv w:val="1"/>
      <w:marLeft w:val="0"/>
      <w:marRight w:val="0"/>
      <w:marTop w:val="0"/>
      <w:marBottom w:val="0"/>
      <w:divBdr>
        <w:top w:val="none" w:sz="0" w:space="0" w:color="auto"/>
        <w:left w:val="none" w:sz="0" w:space="0" w:color="auto"/>
        <w:bottom w:val="none" w:sz="0" w:space="0" w:color="auto"/>
        <w:right w:val="none" w:sz="0" w:space="0" w:color="auto"/>
      </w:divBdr>
    </w:div>
    <w:div w:id="1793328824">
      <w:marLeft w:val="0"/>
      <w:marRight w:val="0"/>
      <w:marTop w:val="0"/>
      <w:marBottom w:val="0"/>
      <w:divBdr>
        <w:top w:val="none" w:sz="0" w:space="0" w:color="auto"/>
        <w:left w:val="none" w:sz="0" w:space="0" w:color="auto"/>
        <w:bottom w:val="none" w:sz="0" w:space="0" w:color="auto"/>
        <w:right w:val="none" w:sz="0" w:space="0" w:color="auto"/>
      </w:divBdr>
      <w:divsChild>
        <w:div w:id="149518304">
          <w:marLeft w:val="0"/>
          <w:marRight w:val="0"/>
          <w:marTop w:val="0"/>
          <w:marBottom w:val="0"/>
          <w:divBdr>
            <w:top w:val="none" w:sz="0" w:space="0" w:color="auto"/>
            <w:left w:val="none" w:sz="0" w:space="0" w:color="auto"/>
            <w:bottom w:val="none" w:sz="0" w:space="0" w:color="auto"/>
            <w:right w:val="none" w:sz="0" w:space="0" w:color="auto"/>
          </w:divBdr>
        </w:div>
      </w:divsChild>
    </w:div>
    <w:div w:id="1824151552">
      <w:marLeft w:val="0"/>
      <w:marRight w:val="0"/>
      <w:marTop w:val="0"/>
      <w:marBottom w:val="0"/>
      <w:divBdr>
        <w:top w:val="none" w:sz="0" w:space="0" w:color="auto"/>
        <w:left w:val="none" w:sz="0" w:space="0" w:color="auto"/>
        <w:bottom w:val="none" w:sz="0" w:space="0" w:color="auto"/>
        <w:right w:val="none" w:sz="0" w:space="0" w:color="auto"/>
      </w:divBdr>
      <w:divsChild>
        <w:div w:id="1615481680">
          <w:marLeft w:val="0"/>
          <w:marRight w:val="0"/>
          <w:marTop w:val="0"/>
          <w:marBottom w:val="0"/>
          <w:divBdr>
            <w:top w:val="none" w:sz="0" w:space="0" w:color="auto"/>
            <w:left w:val="none" w:sz="0" w:space="0" w:color="auto"/>
            <w:bottom w:val="none" w:sz="0" w:space="0" w:color="auto"/>
            <w:right w:val="none" w:sz="0" w:space="0" w:color="auto"/>
          </w:divBdr>
        </w:div>
      </w:divsChild>
    </w:div>
    <w:div w:id="1869558885">
      <w:marLeft w:val="0"/>
      <w:marRight w:val="0"/>
      <w:marTop w:val="0"/>
      <w:marBottom w:val="0"/>
      <w:divBdr>
        <w:top w:val="none" w:sz="0" w:space="0" w:color="auto"/>
        <w:left w:val="none" w:sz="0" w:space="0" w:color="auto"/>
        <w:bottom w:val="none" w:sz="0" w:space="0" w:color="auto"/>
        <w:right w:val="none" w:sz="0" w:space="0" w:color="auto"/>
      </w:divBdr>
    </w:div>
    <w:div w:id="1946183969">
      <w:marLeft w:val="0"/>
      <w:marRight w:val="0"/>
      <w:marTop w:val="0"/>
      <w:marBottom w:val="0"/>
      <w:divBdr>
        <w:top w:val="none" w:sz="0" w:space="0" w:color="auto"/>
        <w:left w:val="none" w:sz="0" w:space="0" w:color="auto"/>
        <w:bottom w:val="none" w:sz="0" w:space="0" w:color="auto"/>
        <w:right w:val="none" w:sz="0" w:space="0" w:color="auto"/>
      </w:divBdr>
      <w:divsChild>
        <w:div w:id="66080366">
          <w:marLeft w:val="0"/>
          <w:marRight w:val="0"/>
          <w:marTop w:val="0"/>
          <w:marBottom w:val="0"/>
          <w:divBdr>
            <w:top w:val="none" w:sz="0" w:space="0" w:color="auto"/>
            <w:left w:val="none" w:sz="0" w:space="0" w:color="auto"/>
            <w:bottom w:val="none" w:sz="0" w:space="0" w:color="auto"/>
            <w:right w:val="none" w:sz="0" w:space="0" w:color="auto"/>
          </w:divBdr>
        </w:div>
      </w:divsChild>
    </w:div>
    <w:div w:id="2083865976">
      <w:marLeft w:val="0"/>
      <w:marRight w:val="0"/>
      <w:marTop w:val="0"/>
      <w:marBottom w:val="0"/>
      <w:divBdr>
        <w:top w:val="none" w:sz="0" w:space="0" w:color="auto"/>
        <w:left w:val="none" w:sz="0" w:space="0" w:color="auto"/>
        <w:bottom w:val="none" w:sz="0" w:space="0" w:color="auto"/>
        <w:right w:val="none" w:sz="0" w:space="0" w:color="auto"/>
      </w:divBdr>
      <w:divsChild>
        <w:div w:id="756560052">
          <w:marLeft w:val="0"/>
          <w:marRight w:val="0"/>
          <w:marTop w:val="0"/>
          <w:marBottom w:val="0"/>
          <w:divBdr>
            <w:top w:val="none" w:sz="0" w:space="0" w:color="auto"/>
            <w:left w:val="none" w:sz="0" w:space="0" w:color="auto"/>
            <w:bottom w:val="none" w:sz="0" w:space="0" w:color="auto"/>
            <w:right w:val="none" w:sz="0" w:space="0" w:color="auto"/>
          </w:divBdr>
        </w:div>
      </w:divsChild>
    </w:div>
    <w:div w:id="21055678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drugstrategy.dhhs.tas.gov.au/__data/assets/pdf_file/0006/263913/Tasmanian_Alcohol_Action_Framework_-_Activities_Report_2010-2016.pdf" TargetMode="External"/><Relationship Id="rId26" Type="http://schemas.openxmlformats.org/officeDocument/2006/relationships/hyperlink" Target="http://www.den.org.au/projects/everybodys-business/" TargetMode="External"/><Relationship Id="rId39" Type="http://schemas.openxmlformats.org/officeDocument/2006/relationships/image" Target="media/image7.tmp"/><Relationship Id="rId21" Type="http://schemas.openxmlformats.org/officeDocument/2006/relationships/header" Target="header6.xml"/><Relationship Id="rId34" Type="http://schemas.openxmlformats.org/officeDocument/2006/relationships/image" Target="media/image3.tmp"/><Relationship Id="rId42" Type="http://schemas.openxmlformats.org/officeDocument/2006/relationships/chart" Target="charts/chart3.xml"/><Relationship Id="rId47" Type="http://schemas.openxmlformats.org/officeDocument/2006/relationships/image" Target="media/image13.tmp"/><Relationship Id="rId50" Type="http://schemas.openxmlformats.org/officeDocument/2006/relationships/image" Target="media/image16.tmp"/><Relationship Id="rId55" Type="http://schemas.openxmlformats.org/officeDocument/2006/relationships/hyperlink" Target="https://www.safetyandquality.gov.au/publications-and-resources/resource-library/third-atlas-healthcare-variation-2018-data-set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drugstrategy.dhhs.tas.gov.au/" TargetMode="External"/><Relationship Id="rId25" Type="http://schemas.openxmlformats.org/officeDocument/2006/relationships/hyperlink" Target="http://www.drugstrategy.dhhs.tas.gov.au/__data/assets/pdf_file/0006/263913/Tasmanian_Alcohol_Action_Framework_-_Activities_Report_2010-2016.pdf" TargetMode="External"/><Relationship Id="rId33" Type="http://schemas.openxmlformats.org/officeDocument/2006/relationships/chart" Target="charts/chart2.xml"/><Relationship Id="rId38" Type="http://schemas.openxmlformats.org/officeDocument/2006/relationships/hyperlink" Target="https://pp.aihw.gov.au/reports/alcohol-other-drug-treatment-services/aodts-state-territory-summaries/contents/tasmania" TargetMode="External"/><Relationship Id="rId46" Type="http://schemas.openxmlformats.org/officeDocument/2006/relationships/image" Target="media/image12.tm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image" Target="media/image9.png"/><Relationship Id="rId54" Type="http://schemas.openxmlformats.org/officeDocument/2006/relationships/hyperlink" Target="https://acem.org.au/About-ACEM/Programs-Projects/Alcohol-Harm-in-ED-(AHED)-Projec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ugstrategy.dhhs.tas.gov.au" TargetMode="External"/><Relationship Id="rId24" Type="http://schemas.openxmlformats.org/officeDocument/2006/relationships/hyperlink" Target="http://113.20.25.135/sites/default/files/publication-documents/monographs/monograph-67.pdf" TargetMode="External"/><Relationship Id="rId32" Type="http://schemas.openxmlformats.org/officeDocument/2006/relationships/chart" Target="charts/chart1.xml"/><Relationship Id="rId37" Type="http://schemas.openxmlformats.org/officeDocument/2006/relationships/image" Target="media/image6.tmp"/><Relationship Id="rId40" Type="http://schemas.openxmlformats.org/officeDocument/2006/relationships/image" Target="media/image8.png"/><Relationship Id="rId45" Type="http://schemas.openxmlformats.org/officeDocument/2006/relationships/chart" Target="charts/chart4.xml"/><Relationship Id="rId53" Type="http://schemas.openxmlformats.org/officeDocument/2006/relationships/hyperlink" Target="https://www.abs.gov.au/ausstats/abs@nsf/mf/4364.0.55.001"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dhhs.tas.gov.au/publichealth/about_us/publications/epidemiology_publications" TargetMode="External"/><Relationship Id="rId28" Type="http://schemas.openxmlformats.org/officeDocument/2006/relationships/header" Target="header7.xml"/><Relationship Id="rId36" Type="http://schemas.openxmlformats.org/officeDocument/2006/relationships/image" Target="media/image5.tmp"/><Relationship Id="rId49" Type="http://schemas.openxmlformats.org/officeDocument/2006/relationships/image" Target="media/image15.tmp"/><Relationship Id="rId57" Type="http://schemas.openxmlformats.org/officeDocument/2006/relationships/hyperlink" Target="http://doi.org/10.26190/5cca661ce09ce" TargetMode="External"/><Relationship Id="rId10" Type="http://schemas.openxmlformats.org/officeDocument/2006/relationships/hyperlink" Target="http://www.healths.tas.gov.au" TargetMode="External"/><Relationship Id="rId19" Type="http://schemas.openxmlformats.org/officeDocument/2006/relationships/header" Target="header4.xml"/><Relationship Id="rId31" Type="http://schemas.openxmlformats.org/officeDocument/2006/relationships/image" Target="media/image2.tmp"/><Relationship Id="rId44" Type="http://schemas.openxmlformats.org/officeDocument/2006/relationships/image" Target="media/image11.tmp"/><Relationship Id="rId52"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hyperlink" Target="mailto:director.mhadd@health.tas.gov.au" TargetMode="External"/><Relationship Id="rId14" Type="http://schemas.openxmlformats.org/officeDocument/2006/relationships/footer" Target="footer1.xml"/><Relationship Id="rId22" Type="http://schemas.openxmlformats.org/officeDocument/2006/relationships/hyperlink" Target="http://drugstrategy.dhhs.tas.gov.au/__data/assets/pdf_file/0008/129842/TAAF_Legislative_Scoping_Study_Final_Report_-_Publication_copy.pdf" TargetMode="External"/><Relationship Id="rId27" Type="http://schemas.openxmlformats.org/officeDocument/2006/relationships/hyperlink" Target="http://doi.org/10.26190/5cca661ce09ce" TargetMode="External"/><Relationship Id="rId30" Type="http://schemas.openxmlformats.org/officeDocument/2006/relationships/header" Target="header9.xml"/><Relationship Id="rId35" Type="http://schemas.openxmlformats.org/officeDocument/2006/relationships/image" Target="media/image4.tmp"/><Relationship Id="rId43" Type="http://schemas.openxmlformats.org/officeDocument/2006/relationships/image" Target="media/image10.png"/><Relationship Id="rId48" Type="http://schemas.openxmlformats.org/officeDocument/2006/relationships/image" Target="media/image14.tmp"/><Relationship Id="rId56" Type="http://schemas.openxmlformats.org/officeDocument/2006/relationships/hyperlink" Target="https://www.aihw.gov.au/reports/alcohol/alcohol-tobacco-other-drugs-australia" TargetMode="External"/><Relationship Id="rId8" Type="http://schemas.openxmlformats.org/officeDocument/2006/relationships/image" Target="media/image1.png"/><Relationship Id="rId51" Type="http://schemas.openxmlformats.org/officeDocument/2006/relationships/image" Target="media/image17.tmp"/><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orefs01\grpdata\SCWR\Mental%20Health,%20Alcohol%20and%20Drug\Policy%20Development\Statistics\Tasmanian\ABS%20Nat%20Health%20Survey%202017-18%20Tas%20alcohol%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refs01\grpdata\SCWR\Mental%20Health,%20Alcohol%20and%20Drug\Policy%20Development\Statistics\Tasmanian\ABS%20Nat%20Health%20Survey%202017-18%20Tas%20alcohol%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Alcohol consumption - exceed single occasion risk guidelines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Sheet1!$A$7:$E$7</c:f>
              <c:strCache>
                <c:ptCount val="5"/>
                <c:pt idx="0">
                  <c:v>Tasmania</c:v>
                </c:pt>
                <c:pt idx="1">
                  <c:v>exceeded single occasion risk guidelines</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Sheet1!$F$6:$H$6</c:f>
              <c:strCache>
                <c:ptCount val="3"/>
                <c:pt idx="0">
                  <c:v>2011–12</c:v>
                </c:pt>
                <c:pt idx="1">
                  <c:v>2014–15</c:v>
                </c:pt>
                <c:pt idx="2">
                  <c:v>2017–18</c:v>
                </c:pt>
              </c:strCache>
            </c:strRef>
          </c:cat>
          <c:val>
            <c:numRef>
              <c:f>Sheet1!$F$7:$H$7</c:f>
              <c:numCache>
                <c:formatCode>0.0</c:formatCode>
                <c:ptCount val="3"/>
                <c:pt idx="0">
                  <c:v>52</c:v>
                </c:pt>
                <c:pt idx="1">
                  <c:v>49.2</c:v>
                </c:pt>
                <c:pt idx="2">
                  <c:v>49</c:v>
                </c:pt>
              </c:numCache>
            </c:numRef>
          </c:val>
          <c:smooth val="0"/>
          <c:extLst>
            <c:ext xmlns:c16="http://schemas.microsoft.com/office/drawing/2014/chart" uri="{C3380CC4-5D6E-409C-BE32-E72D297353CC}">
              <c16:uniqueId val="{00000000-CAB5-4A92-BB67-EAA289C49807}"/>
            </c:ext>
          </c:extLst>
        </c:ser>
        <c:ser>
          <c:idx val="1"/>
          <c:order val="1"/>
          <c:tx>
            <c:strRef>
              <c:f>Sheet1!$A$8:$E$8</c:f>
              <c:strCache>
                <c:ptCount val="5"/>
                <c:pt idx="0">
                  <c:v>Australia</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Sheet1!$F$6:$H$6</c:f>
              <c:strCache>
                <c:ptCount val="3"/>
                <c:pt idx="0">
                  <c:v>2011–12</c:v>
                </c:pt>
                <c:pt idx="1">
                  <c:v>2014–15</c:v>
                </c:pt>
                <c:pt idx="2">
                  <c:v>2017–18</c:v>
                </c:pt>
              </c:strCache>
            </c:strRef>
          </c:cat>
          <c:val>
            <c:numRef>
              <c:f>Sheet1!$F$8:$H$8</c:f>
              <c:numCache>
                <c:formatCode>0.0</c:formatCode>
                <c:ptCount val="3"/>
                <c:pt idx="0">
                  <c:v>45.2</c:v>
                </c:pt>
                <c:pt idx="1">
                  <c:v>45</c:v>
                </c:pt>
                <c:pt idx="2" formatCode="#,##0.0">
                  <c:v>43.2</c:v>
                </c:pt>
              </c:numCache>
            </c:numRef>
          </c:val>
          <c:smooth val="0"/>
          <c:extLst>
            <c:ext xmlns:c16="http://schemas.microsoft.com/office/drawing/2014/chart" uri="{C3380CC4-5D6E-409C-BE32-E72D297353CC}">
              <c16:uniqueId val="{00000001-CAB5-4A92-BB67-EAA289C49807}"/>
            </c:ext>
          </c:extLst>
        </c:ser>
        <c:dLbls>
          <c:showLegendKey val="0"/>
          <c:showVal val="0"/>
          <c:showCatName val="0"/>
          <c:showSerName val="0"/>
          <c:showPercent val="0"/>
          <c:showBubbleSize val="0"/>
        </c:dLbls>
        <c:marker val="1"/>
        <c:smooth val="0"/>
        <c:axId val="541319160"/>
        <c:axId val="541314064"/>
      </c:lineChart>
      <c:catAx>
        <c:axId val="54131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14064"/>
        <c:crosses val="autoZero"/>
        <c:auto val="1"/>
        <c:lblAlgn val="ctr"/>
        <c:lblOffset val="100"/>
        <c:noMultiLvlLbl val="0"/>
      </c:catAx>
      <c:valAx>
        <c:axId val="541314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1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Alcohol consumption - exceed lifetime risk guidelines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Sheet1!$A$3:$B$3</c:f>
              <c:strCache>
                <c:ptCount val="2"/>
                <c:pt idx="0">
                  <c:v>Tasmania</c:v>
                </c:pt>
                <c:pt idx="1">
                  <c:v>exceeded lifetime risk guidelines</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Sheet1!$C$1:$H$2</c:f>
              <c:strCache>
                <c:ptCount val="6"/>
                <c:pt idx="0">
                  <c:v>2001</c:v>
                </c:pt>
                <c:pt idx="1">
                  <c:v>2004–05</c:v>
                </c:pt>
                <c:pt idx="2">
                  <c:v>2007–08</c:v>
                </c:pt>
                <c:pt idx="3">
                  <c:v>2011–12</c:v>
                </c:pt>
                <c:pt idx="4">
                  <c:v>2014–15</c:v>
                </c:pt>
                <c:pt idx="5">
                  <c:v>2017–18</c:v>
                </c:pt>
              </c:strCache>
            </c:strRef>
          </c:cat>
          <c:val>
            <c:numRef>
              <c:f>Sheet1!$C$3:$H$3</c:f>
              <c:numCache>
                <c:formatCode>0.0</c:formatCode>
                <c:ptCount val="6"/>
                <c:pt idx="0">
                  <c:v>19.7</c:v>
                </c:pt>
                <c:pt idx="1">
                  <c:v>19.3</c:v>
                </c:pt>
                <c:pt idx="2">
                  <c:v>21.5</c:v>
                </c:pt>
                <c:pt idx="3">
                  <c:v>22.8</c:v>
                </c:pt>
                <c:pt idx="4">
                  <c:v>19.100000000000001</c:v>
                </c:pt>
                <c:pt idx="5">
                  <c:v>16.7</c:v>
                </c:pt>
              </c:numCache>
            </c:numRef>
          </c:val>
          <c:smooth val="0"/>
          <c:extLst>
            <c:ext xmlns:c16="http://schemas.microsoft.com/office/drawing/2014/chart" uri="{C3380CC4-5D6E-409C-BE32-E72D297353CC}">
              <c16:uniqueId val="{00000000-C8F4-4A83-93CD-580CE864D6A7}"/>
            </c:ext>
          </c:extLst>
        </c:ser>
        <c:ser>
          <c:idx val="1"/>
          <c:order val="1"/>
          <c:tx>
            <c:strRef>
              <c:f>Sheet1!$A$4:$B$4</c:f>
              <c:strCache>
                <c:ptCount val="2"/>
                <c:pt idx="0">
                  <c:v>Australia</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Sheet1!$C$1:$H$2</c:f>
              <c:strCache>
                <c:ptCount val="6"/>
                <c:pt idx="0">
                  <c:v>2001</c:v>
                </c:pt>
                <c:pt idx="1">
                  <c:v>2004–05</c:v>
                </c:pt>
                <c:pt idx="2">
                  <c:v>2007–08</c:v>
                </c:pt>
                <c:pt idx="3">
                  <c:v>2011–12</c:v>
                </c:pt>
                <c:pt idx="4">
                  <c:v>2014–15</c:v>
                </c:pt>
                <c:pt idx="5">
                  <c:v>2017–18</c:v>
                </c:pt>
              </c:strCache>
            </c:strRef>
          </c:cat>
          <c:val>
            <c:numRef>
              <c:f>Sheet1!$C$4:$H$4</c:f>
              <c:numCache>
                <c:formatCode>0.0</c:formatCode>
                <c:ptCount val="6"/>
                <c:pt idx="0">
                  <c:v>18.5</c:v>
                </c:pt>
                <c:pt idx="1">
                  <c:v>21.8</c:v>
                </c:pt>
                <c:pt idx="2">
                  <c:v>20.9</c:v>
                </c:pt>
                <c:pt idx="3">
                  <c:v>19.399999999999999</c:v>
                </c:pt>
                <c:pt idx="4">
                  <c:v>17.3</c:v>
                </c:pt>
                <c:pt idx="5" formatCode="#,##0.0">
                  <c:v>16</c:v>
                </c:pt>
              </c:numCache>
            </c:numRef>
          </c:val>
          <c:smooth val="0"/>
          <c:extLst>
            <c:ext xmlns:c16="http://schemas.microsoft.com/office/drawing/2014/chart" uri="{C3380CC4-5D6E-409C-BE32-E72D297353CC}">
              <c16:uniqueId val="{00000001-C8F4-4A83-93CD-580CE864D6A7}"/>
            </c:ext>
          </c:extLst>
        </c:ser>
        <c:dLbls>
          <c:showLegendKey val="0"/>
          <c:showVal val="0"/>
          <c:showCatName val="0"/>
          <c:showSerName val="0"/>
          <c:showPercent val="0"/>
          <c:showBubbleSize val="0"/>
        </c:dLbls>
        <c:marker val="1"/>
        <c:smooth val="0"/>
        <c:axId val="541315632"/>
        <c:axId val="541316024"/>
      </c:lineChart>
      <c:catAx>
        <c:axId val="54131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16024"/>
        <c:crosses val="autoZero"/>
        <c:auto val="1"/>
        <c:lblAlgn val="ctr"/>
        <c:lblOffset val="100"/>
        <c:noMultiLvlLbl val="0"/>
      </c:catAx>
      <c:valAx>
        <c:axId val="541316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1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Presentations </a:t>
            </a:r>
            <a:r>
              <a:rPr lang="en-US" sz="1400" b="0" i="0" u="none" strike="noStrike" baseline="0">
                <a:effectLst/>
              </a:rPr>
              <a:t>to RHH ED 2017 - 2018 </a:t>
            </a:r>
            <a:r>
              <a:rPr lang="en-US"/>
              <a:t>for alcohol or drug primary diagnoses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Sheet1!$B$3:$C$7</c:f>
              <c:strCache>
                <c:ptCount val="5"/>
                <c:pt idx="0">
                  <c:v>Alcohol intoxication </c:v>
                </c:pt>
                <c:pt idx="1">
                  <c:v>Intoxication due to multiple / unspecified drugs </c:v>
                </c:pt>
                <c:pt idx="2">
                  <c:v>Alcohol withdrawal </c:v>
                </c:pt>
                <c:pt idx="3">
                  <c:v>Behavioural disorder due to alcohol (not intoxication) </c:v>
                </c:pt>
                <c:pt idx="4">
                  <c:v>Overdose, Multiple / Unknown Drugs NOS </c:v>
                </c:pt>
              </c:strCache>
              <c:extLst/>
            </c:strRef>
          </c:cat>
          <c:val>
            <c:numRef>
              <c:f>Sheet1!$D$3:$D$7</c:f>
              <c:numCache>
                <c:formatCode>0</c:formatCode>
                <c:ptCount val="5"/>
                <c:pt idx="0">
                  <c:v>348</c:v>
                </c:pt>
                <c:pt idx="1">
                  <c:v>95</c:v>
                </c:pt>
                <c:pt idx="2">
                  <c:v>71</c:v>
                </c:pt>
                <c:pt idx="3">
                  <c:v>31</c:v>
                </c:pt>
                <c:pt idx="4">
                  <c:v>9</c:v>
                </c:pt>
              </c:numCache>
            </c:numRef>
          </c:val>
          <c:extLst>
            <c:ext xmlns:c16="http://schemas.microsoft.com/office/drawing/2014/chart" uri="{C3380CC4-5D6E-409C-BE32-E72D297353CC}">
              <c16:uniqueId val="{00000000-BC8D-4C9A-A381-F2B0B7A2BEB7}"/>
            </c:ext>
          </c:extLst>
        </c:ser>
        <c:ser>
          <c:idx val="1"/>
          <c:order val="1"/>
          <c:tx>
            <c:strRef>
              <c:f>Sheet1!$E$2</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Sheet1!$B$3:$C$7</c:f>
              <c:strCache>
                <c:ptCount val="5"/>
                <c:pt idx="0">
                  <c:v>Alcohol intoxication </c:v>
                </c:pt>
                <c:pt idx="1">
                  <c:v>Intoxication due to multiple / unspecified drugs </c:v>
                </c:pt>
                <c:pt idx="2">
                  <c:v>Alcohol withdrawal </c:v>
                </c:pt>
                <c:pt idx="3">
                  <c:v>Behavioural disorder due to alcohol (not intoxication) </c:v>
                </c:pt>
                <c:pt idx="4">
                  <c:v>Overdose, Multiple / Unknown Drugs NOS </c:v>
                </c:pt>
              </c:strCache>
              <c:extLst/>
            </c:strRef>
          </c:cat>
          <c:val>
            <c:numRef>
              <c:f>Sheet1!$E$3:$E$7</c:f>
              <c:numCache>
                <c:formatCode>0</c:formatCode>
                <c:ptCount val="5"/>
                <c:pt idx="0">
                  <c:v>332</c:v>
                </c:pt>
                <c:pt idx="1">
                  <c:v>86</c:v>
                </c:pt>
                <c:pt idx="2">
                  <c:v>73</c:v>
                </c:pt>
                <c:pt idx="3">
                  <c:v>25</c:v>
                </c:pt>
                <c:pt idx="4">
                  <c:v>25</c:v>
                </c:pt>
              </c:numCache>
            </c:numRef>
          </c:val>
          <c:extLst>
            <c:ext xmlns:c16="http://schemas.microsoft.com/office/drawing/2014/chart" uri="{C3380CC4-5D6E-409C-BE32-E72D297353CC}">
              <c16:uniqueId val="{00000001-BC8D-4C9A-A381-F2B0B7A2BEB7}"/>
            </c:ext>
          </c:extLst>
        </c:ser>
        <c:dLbls>
          <c:showLegendKey val="0"/>
          <c:showVal val="0"/>
          <c:showCatName val="0"/>
          <c:showSerName val="0"/>
          <c:showPercent val="0"/>
          <c:showBubbleSize val="0"/>
        </c:dLbls>
        <c:gapWidth val="182"/>
        <c:axId val="541316808"/>
        <c:axId val="541319552"/>
      </c:barChart>
      <c:catAx>
        <c:axId val="54131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19552"/>
        <c:crosses val="autoZero"/>
        <c:auto val="0"/>
        <c:lblAlgn val="ctr"/>
        <c:lblOffset val="100"/>
        <c:noMultiLvlLbl val="0"/>
      </c:catAx>
      <c:valAx>
        <c:axId val="541319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16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Gill Sans MT" panose="020B0502020104020203" pitchFamily="34" charset="0"/>
              </a:rPr>
              <a:t>Number and type of liquor licences in Tasmania 2009-2019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Sheet1!$C$2:$C$4</c:f>
              <c:strCache>
                <c:ptCount val="3"/>
                <c:pt idx="0">
                  <c:v>General</c:v>
                </c:pt>
              </c:strCache>
            </c:strRef>
          </c:tx>
          <c:spPr>
            <a:solidFill>
              <a:schemeClr val="accent1"/>
            </a:solidFill>
            <a:ln>
              <a:noFill/>
            </a:ln>
            <a:effectLst/>
            <a:sp3d/>
          </c:spPr>
          <c:invertIfNegative val="0"/>
          <c:cat>
            <c:numRef>
              <c:f>Sheet1!$B$5:$B$15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Sheet1!$C$5:$C$15</c:f>
              <c:numCache>
                <c:formatCode>General</c:formatCode>
                <c:ptCount val="11"/>
                <c:pt idx="0">
                  <c:v>310</c:v>
                </c:pt>
                <c:pt idx="1">
                  <c:v>325</c:v>
                </c:pt>
                <c:pt idx="2">
                  <c:v>330</c:v>
                </c:pt>
                <c:pt idx="3">
                  <c:v>325</c:v>
                </c:pt>
                <c:pt idx="4">
                  <c:v>323</c:v>
                </c:pt>
                <c:pt idx="5">
                  <c:v>327</c:v>
                </c:pt>
                <c:pt idx="6">
                  <c:v>332</c:v>
                </c:pt>
                <c:pt idx="7">
                  <c:v>333</c:v>
                </c:pt>
                <c:pt idx="8">
                  <c:v>341</c:v>
                </c:pt>
                <c:pt idx="9">
                  <c:v>342</c:v>
                </c:pt>
                <c:pt idx="10">
                  <c:v>349</c:v>
                </c:pt>
              </c:numCache>
            </c:numRef>
          </c:val>
          <c:extLst>
            <c:ext xmlns:c16="http://schemas.microsoft.com/office/drawing/2014/chart" uri="{C3380CC4-5D6E-409C-BE32-E72D297353CC}">
              <c16:uniqueId val="{00000000-2876-495C-86AF-136F629E233D}"/>
            </c:ext>
          </c:extLst>
        </c:ser>
        <c:ser>
          <c:idx val="1"/>
          <c:order val="1"/>
          <c:tx>
            <c:strRef>
              <c:f>Sheet1!$D$2:$D$4</c:f>
              <c:strCache>
                <c:ptCount val="3"/>
                <c:pt idx="0">
                  <c:v>Special</c:v>
                </c:pt>
              </c:strCache>
            </c:strRef>
          </c:tx>
          <c:spPr>
            <a:solidFill>
              <a:schemeClr val="accent2"/>
            </a:solidFill>
            <a:ln>
              <a:noFill/>
            </a:ln>
            <a:effectLst/>
            <a:sp3d/>
          </c:spPr>
          <c:invertIfNegative val="0"/>
          <c:cat>
            <c:numRef>
              <c:f>Sheet1!$B$5:$B$15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Sheet1!$D$5:$D$15</c:f>
              <c:numCache>
                <c:formatCode>General</c:formatCode>
                <c:ptCount val="11"/>
                <c:pt idx="0">
                  <c:v>536</c:v>
                </c:pt>
                <c:pt idx="1">
                  <c:v>565</c:v>
                </c:pt>
                <c:pt idx="2">
                  <c:v>570</c:v>
                </c:pt>
                <c:pt idx="3">
                  <c:v>575</c:v>
                </c:pt>
                <c:pt idx="4">
                  <c:v>569</c:v>
                </c:pt>
                <c:pt idx="5">
                  <c:v>577</c:v>
                </c:pt>
                <c:pt idx="6">
                  <c:v>612</c:v>
                </c:pt>
                <c:pt idx="7">
                  <c:v>628</c:v>
                </c:pt>
                <c:pt idx="8">
                  <c:v>653</c:v>
                </c:pt>
                <c:pt idx="9">
                  <c:v>692</c:v>
                </c:pt>
                <c:pt idx="10">
                  <c:v>732</c:v>
                </c:pt>
              </c:numCache>
            </c:numRef>
          </c:val>
          <c:extLst>
            <c:ext xmlns:c16="http://schemas.microsoft.com/office/drawing/2014/chart" uri="{C3380CC4-5D6E-409C-BE32-E72D297353CC}">
              <c16:uniqueId val="{00000001-2876-495C-86AF-136F629E233D}"/>
            </c:ext>
          </c:extLst>
        </c:ser>
        <c:ser>
          <c:idx val="2"/>
          <c:order val="2"/>
          <c:tx>
            <c:strRef>
              <c:f>Sheet1!$E$2:$E$4</c:f>
              <c:strCache>
                <c:ptCount val="3"/>
                <c:pt idx="0">
                  <c:v>Off</c:v>
                </c:pt>
              </c:strCache>
            </c:strRef>
          </c:tx>
          <c:spPr>
            <a:solidFill>
              <a:schemeClr val="accent3"/>
            </a:solidFill>
            <a:ln>
              <a:noFill/>
            </a:ln>
            <a:effectLst/>
            <a:sp3d/>
          </c:spPr>
          <c:invertIfNegative val="0"/>
          <c:cat>
            <c:numRef>
              <c:f>Sheet1!$B$5:$B$15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Sheet1!$E$5:$E$15</c:f>
              <c:numCache>
                <c:formatCode>General</c:formatCode>
                <c:ptCount val="11"/>
                <c:pt idx="0">
                  <c:v>46</c:v>
                </c:pt>
                <c:pt idx="1">
                  <c:v>49</c:v>
                </c:pt>
                <c:pt idx="2">
                  <c:v>55</c:v>
                </c:pt>
                <c:pt idx="3">
                  <c:v>66</c:v>
                </c:pt>
                <c:pt idx="4">
                  <c:v>64</c:v>
                </c:pt>
                <c:pt idx="5">
                  <c:v>67</c:v>
                </c:pt>
                <c:pt idx="6">
                  <c:v>76</c:v>
                </c:pt>
                <c:pt idx="7">
                  <c:v>83</c:v>
                </c:pt>
                <c:pt idx="8">
                  <c:v>87</c:v>
                </c:pt>
                <c:pt idx="9">
                  <c:v>88</c:v>
                </c:pt>
                <c:pt idx="10">
                  <c:v>90</c:v>
                </c:pt>
              </c:numCache>
            </c:numRef>
          </c:val>
          <c:extLst>
            <c:ext xmlns:c16="http://schemas.microsoft.com/office/drawing/2014/chart" uri="{C3380CC4-5D6E-409C-BE32-E72D297353CC}">
              <c16:uniqueId val="{00000002-2876-495C-86AF-136F629E233D}"/>
            </c:ext>
          </c:extLst>
        </c:ser>
        <c:ser>
          <c:idx val="3"/>
          <c:order val="3"/>
          <c:tx>
            <c:strRef>
              <c:f>Sheet1!$F$2:$F$4</c:f>
              <c:strCache>
                <c:ptCount val="3"/>
                <c:pt idx="0">
                  <c:v>Club</c:v>
                </c:pt>
              </c:strCache>
            </c:strRef>
          </c:tx>
          <c:spPr>
            <a:solidFill>
              <a:schemeClr val="accent4"/>
            </a:solidFill>
            <a:ln>
              <a:noFill/>
            </a:ln>
            <a:effectLst/>
            <a:sp3d/>
          </c:spPr>
          <c:invertIfNegative val="0"/>
          <c:cat>
            <c:numRef>
              <c:f>Sheet1!$B$5:$B$15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Sheet1!$F$5:$F$15</c:f>
              <c:numCache>
                <c:formatCode>General</c:formatCode>
                <c:ptCount val="11"/>
                <c:pt idx="0">
                  <c:v>205</c:v>
                </c:pt>
                <c:pt idx="1">
                  <c:v>205</c:v>
                </c:pt>
                <c:pt idx="2">
                  <c:v>207</c:v>
                </c:pt>
                <c:pt idx="3">
                  <c:v>203</c:v>
                </c:pt>
                <c:pt idx="4">
                  <c:v>198</c:v>
                </c:pt>
                <c:pt idx="5">
                  <c:v>200</c:v>
                </c:pt>
                <c:pt idx="6">
                  <c:v>199</c:v>
                </c:pt>
                <c:pt idx="7">
                  <c:v>196</c:v>
                </c:pt>
                <c:pt idx="8">
                  <c:v>197</c:v>
                </c:pt>
                <c:pt idx="9">
                  <c:v>198</c:v>
                </c:pt>
                <c:pt idx="10">
                  <c:v>197</c:v>
                </c:pt>
              </c:numCache>
            </c:numRef>
          </c:val>
          <c:extLst>
            <c:ext xmlns:c16="http://schemas.microsoft.com/office/drawing/2014/chart" uri="{C3380CC4-5D6E-409C-BE32-E72D297353CC}">
              <c16:uniqueId val="{00000003-2876-495C-86AF-136F629E233D}"/>
            </c:ext>
          </c:extLst>
        </c:ser>
        <c:ser>
          <c:idx val="4"/>
          <c:order val="4"/>
          <c:tx>
            <c:strRef>
              <c:f>Sheet1!$G$2:$G$4</c:f>
              <c:strCache>
                <c:ptCount val="3"/>
                <c:pt idx="0">
                  <c:v>Special</c:v>
                </c:pt>
                <c:pt idx="1">
                  <c:v>Wine</c:v>
                </c:pt>
                <c:pt idx="2">
                  <c:v>Producer</c:v>
                </c:pt>
              </c:strCache>
            </c:strRef>
          </c:tx>
          <c:spPr>
            <a:solidFill>
              <a:schemeClr val="accent5"/>
            </a:solidFill>
            <a:ln>
              <a:noFill/>
            </a:ln>
            <a:effectLst/>
            <a:sp3d/>
          </c:spPr>
          <c:invertIfNegative val="0"/>
          <c:cat>
            <c:numRef>
              <c:f>Sheet1!$B$5:$B$15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Sheet1!$G$5:$G$15</c:f>
              <c:numCache>
                <c:formatCode>General</c:formatCode>
                <c:ptCount val="11"/>
                <c:pt idx="0">
                  <c:v>160</c:v>
                </c:pt>
                <c:pt idx="1">
                  <c:v>161</c:v>
                </c:pt>
                <c:pt idx="2">
                  <c:v>167</c:v>
                </c:pt>
                <c:pt idx="3">
                  <c:v>170</c:v>
                </c:pt>
                <c:pt idx="4">
                  <c:v>165</c:v>
                </c:pt>
                <c:pt idx="5">
                  <c:v>156</c:v>
                </c:pt>
                <c:pt idx="6">
                  <c:v>163</c:v>
                </c:pt>
                <c:pt idx="7">
                  <c:v>161</c:v>
                </c:pt>
                <c:pt idx="8">
                  <c:v>163</c:v>
                </c:pt>
                <c:pt idx="9">
                  <c:v>158</c:v>
                </c:pt>
                <c:pt idx="10">
                  <c:v>159</c:v>
                </c:pt>
              </c:numCache>
            </c:numRef>
          </c:val>
          <c:extLst>
            <c:ext xmlns:c16="http://schemas.microsoft.com/office/drawing/2014/chart" uri="{C3380CC4-5D6E-409C-BE32-E72D297353CC}">
              <c16:uniqueId val="{00000004-2876-495C-86AF-136F629E233D}"/>
            </c:ext>
          </c:extLst>
        </c:ser>
        <c:ser>
          <c:idx val="5"/>
          <c:order val="5"/>
          <c:tx>
            <c:strRef>
              <c:f>Sheet1!$H$2:$H$4</c:f>
              <c:strCache>
                <c:ptCount val="3"/>
                <c:pt idx="0">
                  <c:v>On</c:v>
                </c:pt>
              </c:strCache>
            </c:strRef>
          </c:tx>
          <c:spPr>
            <a:solidFill>
              <a:schemeClr val="accent6"/>
            </a:solidFill>
            <a:ln>
              <a:noFill/>
            </a:ln>
            <a:effectLst/>
            <a:sp3d/>
          </c:spPr>
          <c:invertIfNegative val="0"/>
          <c:cat>
            <c:numRef>
              <c:f>Sheet1!$B$5:$B$15</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Sheet1!$H$5:$H$15</c:f>
              <c:numCache>
                <c:formatCode>General</c:formatCode>
                <c:ptCount val="11"/>
                <c:pt idx="0">
                  <c:v>121</c:v>
                </c:pt>
                <c:pt idx="1">
                  <c:v>124</c:v>
                </c:pt>
                <c:pt idx="2">
                  <c:v>140</c:v>
                </c:pt>
                <c:pt idx="3">
                  <c:v>149</c:v>
                </c:pt>
                <c:pt idx="4">
                  <c:v>162</c:v>
                </c:pt>
                <c:pt idx="5">
                  <c:v>167</c:v>
                </c:pt>
                <c:pt idx="6">
                  <c:v>191</c:v>
                </c:pt>
                <c:pt idx="7">
                  <c:v>202</c:v>
                </c:pt>
                <c:pt idx="8">
                  <c:v>224</c:v>
                </c:pt>
                <c:pt idx="9">
                  <c:v>245</c:v>
                </c:pt>
                <c:pt idx="10">
                  <c:v>258</c:v>
                </c:pt>
              </c:numCache>
            </c:numRef>
          </c:val>
          <c:extLst>
            <c:ext xmlns:c16="http://schemas.microsoft.com/office/drawing/2014/chart" uri="{C3380CC4-5D6E-409C-BE32-E72D297353CC}">
              <c16:uniqueId val="{00000005-2876-495C-86AF-136F629E233D}"/>
            </c:ext>
          </c:extLst>
        </c:ser>
        <c:dLbls>
          <c:showLegendKey val="0"/>
          <c:showVal val="0"/>
          <c:showCatName val="0"/>
          <c:showSerName val="0"/>
          <c:showPercent val="0"/>
          <c:showBubbleSize val="0"/>
        </c:dLbls>
        <c:gapWidth val="150"/>
        <c:shape val="box"/>
        <c:axId val="541318768"/>
        <c:axId val="541312104"/>
        <c:axId val="0"/>
      </c:bar3DChart>
      <c:catAx>
        <c:axId val="541318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12104"/>
        <c:crosses val="autoZero"/>
        <c:auto val="1"/>
        <c:lblAlgn val="ctr"/>
        <c:lblOffset val="100"/>
        <c:noMultiLvlLbl val="0"/>
      </c:catAx>
      <c:valAx>
        <c:axId val="541312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31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F9084-79C8-4087-A20A-CEA2BCC8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14744</Words>
  <Characters>84041</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Tasmanian Drug Strategy 2013-2018 Report on Activities</vt:lpstr>
    </vt:vector>
  </TitlesOfParts>
  <Company/>
  <LinksUpToDate>false</LinksUpToDate>
  <CharactersWithSpaces>98588</CharactersWithSpaces>
  <SharedDoc>false</SharedDoc>
  <HLinks>
    <vt:vector size="36" baseType="variant">
      <vt:variant>
        <vt:i4>1572926</vt:i4>
      </vt:variant>
      <vt:variant>
        <vt:i4>56</vt:i4>
      </vt:variant>
      <vt:variant>
        <vt:i4>0</vt:i4>
      </vt:variant>
      <vt:variant>
        <vt:i4>5</vt:i4>
      </vt:variant>
      <vt:variant>
        <vt:lpwstr/>
      </vt:variant>
      <vt:variant>
        <vt:lpwstr>_Toc180897681</vt:lpwstr>
      </vt:variant>
      <vt:variant>
        <vt:i4>1572926</vt:i4>
      </vt:variant>
      <vt:variant>
        <vt:i4>50</vt:i4>
      </vt:variant>
      <vt:variant>
        <vt:i4>0</vt:i4>
      </vt:variant>
      <vt:variant>
        <vt:i4>5</vt:i4>
      </vt:variant>
      <vt:variant>
        <vt:lpwstr/>
      </vt:variant>
      <vt:variant>
        <vt:lpwstr>_Toc180897680</vt:lpwstr>
      </vt:variant>
      <vt:variant>
        <vt:i4>1507390</vt:i4>
      </vt:variant>
      <vt:variant>
        <vt:i4>44</vt:i4>
      </vt:variant>
      <vt:variant>
        <vt:i4>0</vt:i4>
      </vt:variant>
      <vt:variant>
        <vt:i4>5</vt:i4>
      </vt:variant>
      <vt:variant>
        <vt:lpwstr/>
      </vt:variant>
      <vt:variant>
        <vt:lpwstr>_Toc180897679</vt:lpwstr>
      </vt:variant>
      <vt:variant>
        <vt:i4>1507390</vt:i4>
      </vt:variant>
      <vt:variant>
        <vt:i4>38</vt:i4>
      </vt:variant>
      <vt:variant>
        <vt:i4>0</vt:i4>
      </vt:variant>
      <vt:variant>
        <vt:i4>5</vt:i4>
      </vt:variant>
      <vt:variant>
        <vt:lpwstr/>
      </vt:variant>
      <vt:variant>
        <vt:lpwstr>_Toc180897678</vt:lpwstr>
      </vt:variant>
      <vt:variant>
        <vt:i4>1507390</vt:i4>
      </vt:variant>
      <vt:variant>
        <vt:i4>32</vt:i4>
      </vt:variant>
      <vt:variant>
        <vt:i4>0</vt:i4>
      </vt:variant>
      <vt:variant>
        <vt:i4>5</vt:i4>
      </vt:variant>
      <vt:variant>
        <vt:lpwstr/>
      </vt:variant>
      <vt:variant>
        <vt:lpwstr>_Toc180897677</vt:lpwstr>
      </vt:variant>
      <vt:variant>
        <vt:i4>1507390</vt:i4>
      </vt:variant>
      <vt:variant>
        <vt:i4>26</vt:i4>
      </vt:variant>
      <vt:variant>
        <vt:i4>0</vt:i4>
      </vt:variant>
      <vt:variant>
        <vt:i4>5</vt:i4>
      </vt:variant>
      <vt:variant>
        <vt:lpwstr/>
      </vt:variant>
      <vt:variant>
        <vt:lpwstr>_Toc180897676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Tasmanian Drug Strategy 2013-2018 Report on Activities</dc:title>
  <dc:subject/>
  <dc:creator>sengels</dc:creator>
  <cp:keywords/>
  <dc:description/>
  <cp:lastModifiedBy>Martin, Gabrielle L</cp:lastModifiedBy>
  <cp:revision>2</cp:revision>
  <cp:lastPrinted>2020-05-27T00:04:00Z</cp:lastPrinted>
  <dcterms:created xsi:type="dcterms:W3CDTF">2020-05-27T00:17:00Z</dcterms:created>
  <dcterms:modified xsi:type="dcterms:W3CDTF">2020-05-27T00:17:00Z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 - </vt:lpwstr>
  </property>
  <property fmtid="{D5CDD505-2E9C-101B-9397-08002B2CF9AE}" pid="3" name="Division">
    <vt:lpwstr>Division</vt:lpwstr>
  </property>
  <property fmtid="{D5CDD505-2E9C-101B-9397-08002B2CF9AE}" pid="4" name="Version">
    <vt:lpwstr>1.0a</vt:lpwstr>
  </property>
  <property fmtid="{D5CDD505-2E9C-101B-9397-08002B2CF9AE}" pid="5" name="Date">
    <vt:lpwstr/>
  </property>
  <property fmtid="{D5CDD505-2E9C-101B-9397-08002B2CF9AE}" pid="6" name="File">
    <vt:lpwstr/>
  </property>
  <property fmtid="{D5CDD505-2E9C-101B-9397-08002B2CF9AE}" pid="7" name="ReportTitle1">
    <vt:lpwstr>Tasmanian Drug Strategy 2013-2018</vt:lpwstr>
  </property>
  <property fmtid="{D5CDD505-2E9C-101B-9397-08002B2CF9AE}" pid="8" name="ReportTitle2">
    <vt:lpwstr>Report on Activities</vt:lpwstr>
  </property>
  <property fmtid="{D5CDD505-2E9C-101B-9397-08002B2CF9AE}" pid="9" name="ReportTitle3">
    <vt:lpwstr/>
  </property>
  <property fmtid="{D5CDD505-2E9C-101B-9397-08002B2CF9AE}" pid="10" name="DraftCheck">
    <vt:lpwstr>True</vt:lpwstr>
  </property>
  <property fmtid="{D5CDD505-2E9C-101B-9397-08002B2CF9AE}" pid="11" name="DeptOpUnit">
    <vt:lpwstr>Corporate Policy and Regulatory Services - Mental Health, Alcohol and Drug Directorate</vt:lpwstr>
  </property>
  <property fmtid="{D5CDD505-2E9C-101B-9397-08002B2CF9AE}" pid="12" name="SelectDepartment">
    <vt:lpwstr>Yes</vt:lpwstr>
  </property>
  <property fmtid="{D5CDD505-2E9C-101B-9397-08002B2CF9AE}" pid="13" name="SelectTHS">
    <vt:lpwstr>No</vt:lpwstr>
  </property>
  <property fmtid="{D5CDD505-2E9C-101B-9397-08002B2CF9AE}" pid="14" name="THSUnit">
    <vt:lpwstr/>
  </property>
</Properties>
</file>