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E45A" w14:textId="77777777" w:rsidR="00B3687C" w:rsidRPr="00093C97" w:rsidRDefault="00B3687C" w:rsidP="00783ACD">
      <w:pPr>
        <w:pStyle w:val="Heading1"/>
        <w:keepNext w:val="0"/>
        <w:keepLines w:val="0"/>
        <w:widowControl w:val="0"/>
        <w:rPr>
          <w:rFonts w:ascii="Gill Sans MT" w:hAnsi="Gill Sans MT"/>
          <w:sz w:val="56"/>
          <w:szCs w:val="56"/>
        </w:rPr>
      </w:pPr>
      <w:r w:rsidRPr="00093C97">
        <w:rPr>
          <w:rFonts w:ascii="Gill Sans MT" w:hAnsi="Gill Sans MT"/>
          <w:sz w:val="56"/>
          <w:szCs w:val="56"/>
        </w:rPr>
        <w:t>Interagency Working Group on Drugs</w:t>
      </w:r>
    </w:p>
    <w:p w14:paraId="2E0218DA" w14:textId="77777777" w:rsidR="009F6CA6" w:rsidRPr="00093C97" w:rsidRDefault="009F6CA6" w:rsidP="00783ACD">
      <w:pPr>
        <w:widowControl w:val="0"/>
        <w:spacing w:after="140" w:line="300" w:lineRule="atLeast"/>
        <w:rPr>
          <w:rFonts w:ascii="Gill Sans MT" w:hAnsi="Gill Sans MT"/>
        </w:rPr>
      </w:pPr>
    </w:p>
    <w:p w14:paraId="218039F7" w14:textId="77777777" w:rsidR="009F6CA6" w:rsidRPr="00093C97" w:rsidRDefault="009F6CA6" w:rsidP="00783ACD">
      <w:pPr>
        <w:widowControl w:val="0"/>
        <w:spacing w:after="140" w:line="300" w:lineRule="atLeast"/>
        <w:rPr>
          <w:rFonts w:ascii="Gill Sans MT" w:hAnsi="Gill Sans MT"/>
        </w:rPr>
      </w:pPr>
    </w:p>
    <w:p w14:paraId="4F3C793E" w14:textId="77777777" w:rsidR="009F6CA6" w:rsidRPr="00093C97" w:rsidRDefault="009F6CA6" w:rsidP="00783ACD">
      <w:pPr>
        <w:widowControl w:val="0"/>
        <w:spacing w:after="140" w:line="300" w:lineRule="atLeast"/>
        <w:rPr>
          <w:rFonts w:ascii="Gill Sans MT" w:hAnsi="Gill Sans MT"/>
        </w:rPr>
      </w:pPr>
    </w:p>
    <w:p w14:paraId="5E04286C" w14:textId="77777777" w:rsidR="007D4F51" w:rsidRPr="00093C97" w:rsidRDefault="007D4F51" w:rsidP="00783ACD">
      <w:pPr>
        <w:widowControl w:val="0"/>
        <w:spacing w:after="140" w:line="300" w:lineRule="atLeast"/>
        <w:rPr>
          <w:rFonts w:ascii="Gill Sans MT" w:hAnsi="Gill Sans MT"/>
        </w:rPr>
      </w:pPr>
    </w:p>
    <w:p w14:paraId="608F9C76" w14:textId="77777777" w:rsidR="009F6CA6" w:rsidRPr="00093C97" w:rsidRDefault="009F6CA6" w:rsidP="00783ACD">
      <w:pPr>
        <w:widowControl w:val="0"/>
        <w:spacing w:after="140" w:line="300" w:lineRule="atLeast"/>
        <w:rPr>
          <w:rFonts w:ascii="Gill Sans MT" w:hAnsi="Gill Sans MT"/>
        </w:rPr>
      </w:pPr>
    </w:p>
    <w:p w14:paraId="007243EC" w14:textId="77777777" w:rsidR="009F6CA6" w:rsidRPr="00093C97" w:rsidRDefault="009F6CA6" w:rsidP="00783ACD">
      <w:pPr>
        <w:pStyle w:val="Heading1"/>
        <w:keepNext w:val="0"/>
        <w:keepLines w:val="0"/>
        <w:widowControl w:val="0"/>
        <w:rPr>
          <w:rFonts w:ascii="Gill Sans MT" w:hAnsi="Gill Sans MT"/>
          <w:sz w:val="52"/>
          <w:szCs w:val="52"/>
        </w:rPr>
      </w:pPr>
      <w:r w:rsidRPr="00093C97">
        <w:rPr>
          <w:rFonts w:ascii="Gill Sans MT" w:hAnsi="Gill Sans MT"/>
          <w:sz w:val="52"/>
          <w:szCs w:val="52"/>
        </w:rPr>
        <w:t xml:space="preserve">Annual Report </w:t>
      </w:r>
    </w:p>
    <w:p w14:paraId="3AA45B2C" w14:textId="77777777" w:rsidR="009F6CA6" w:rsidRPr="00093C97" w:rsidRDefault="00207486" w:rsidP="00783ACD">
      <w:pPr>
        <w:pStyle w:val="Heading1"/>
        <w:keepNext w:val="0"/>
        <w:keepLines w:val="0"/>
        <w:widowControl w:val="0"/>
        <w:rPr>
          <w:rFonts w:ascii="Gill Sans MT" w:hAnsi="Gill Sans MT"/>
          <w:sz w:val="52"/>
          <w:szCs w:val="52"/>
        </w:rPr>
      </w:pPr>
      <w:r w:rsidRPr="00093C97">
        <w:rPr>
          <w:rFonts w:ascii="Gill Sans MT" w:hAnsi="Gill Sans MT"/>
          <w:sz w:val="52"/>
          <w:szCs w:val="52"/>
        </w:rPr>
        <w:t>2016-2017</w:t>
      </w:r>
    </w:p>
    <w:p w14:paraId="4E4A87CB" w14:textId="77777777" w:rsidR="009F6CA6" w:rsidRPr="00093C97" w:rsidRDefault="009F6CA6" w:rsidP="00783ACD">
      <w:pPr>
        <w:widowControl w:val="0"/>
        <w:spacing w:after="140" w:line="300" w:lineRule="atLeast"/>
        <w:rPr>
          <w:rFonts w:ascii="Gill Sans MT" w:hAnsi="Gill Sans MT"/>
        </w:rPr>
      </w:pPr>
    </w:p>
    <w:p w14:paraId="1C484FC3" w14:textId="77777777" w:rsidR="00972C89" w:rsidRPr="00093C97" w:rsidRDefault="00972C89" w:rsidP="00783ACD">
      <w:pPr>
        <w:widowControl w:val="0"/>
        <w:spacing w:after="140" w:line="300" w:lineRule="atLeast"/>
        <w:rPr>
          <w:rFonts w:ascii="Gill Sans MT" w:hAnsi="Gill Sans MT"/>
        </w:rPr>
      </w:pPr>
    </w:p>
    <w:p w14:paraId="1D28BD97" w14:textId="77777777" w:rsidR="00972C89" w:rsidRPr="00093C97" w:rsidRDefault="00972C89" w:rsidP="00783ACD">
      <w:pPr>
        <w:widowControl w:val="0"/>
        <w:spacing w:after="140" w:line="300" w:lineRule="atLeast"/>
        <w:rPr>
          <w:rFonts w:ascii="Gill Sans MT" w:hAnsi="Gill Sans MT"/>
        </w:rPr>
      </w:pPr>
    </w:p>
    <w:p w14:paraId="3EFE03DA" w14:textId="77777777" w:rsidR="00972C89" w:rsidRPr="00093C97" w:rsidRDefault="00972C89" w:rsidP="00783ACD">
      <w:pPr>
        <w:widowControl w:val="0"/>
        <w:spacing w:after="140" w:line="300" w:lineRule="atLeast"/>
        <w:rPr>
          <w:rFonts w:ascii="Gill Sans MT" w:hAnsi="Gill Sans MT"/>
        </w:rPr>
      </w:pPr>
    </w:p>
    <w:p w14:paraId="31E68C4D" w14:textId="77777777" w:rsidR="009F6CA6" w:rsidRPr="00093C97" w:rsidRDefault="009F6CA6" w:rsidP="00783ACD">
      <w:pPr>
        <w:widowControl w:val="0"/>
        <w:spacing w:after="140" w:line="300" w:lineRule="atLeast"/>
        <w:rPr>
          <w:rFonts w:ascii="Gill Sans MT" w:hAnsi="Gill Sans MT"/>
        </w:rPr>
      </w:pPr>
    </w:p>
    <w:p w14:paraId="74A13219" w14:textId="77777777" w:rsidR="009F6CA6" w:rsidRPr="00093C97" w:rsidRDefault="009F6CA6" w:rsidP="00783ACD">
      <w:pPr>
        <w:widowControl w:val="0"/>
        <w:spacing w:after="140" w:line="300" w:lineRule="atLeast"/>
        <w:rPr>
          <w:rFonts w:ascii="Gill Sans MT" w:hAnsi="Gill Sans MT"/>
        </w:rPr>
      </w:pPr>
    </w:p>
    <w:p w14:paraId="670BD7E6" w14:textId="77777777" w:rsidR="009F6CA6" w:rsidRPr="00093C97" w:rsidRDefault="009F6CA6" w:rsidP="00783ACD">
      <w:pPr>
        <w:widowControl w:val="0"/>
        <w:spacing w:after="140" w:line="300" w:lineRule="atLeast"/>
        <w:rPr>
          <w:rFonts w:ascii="Gill Sans MT" w:hAnsi="Gill Sans MT"/>
        </w:rPr>
      </w:pPr>
    </w:p>
    <w:p w14:paraId="4C668545" w14:textId="77777777" w:rsidR="009F6CA6" w:rsidRPr="00093C97" w:rsidRDefault="009F6CA6" w:rsidP="00783ACD">
      <w:pPr>
        <w:widowControl w:val="0"/>
        <w:spacing w:after="140" w:line="300" w:lineRule="atLeast"/>
        <w:rPr>
          <w:rFonts w:ascii="Gill Sans MT" w:hAnsi="Gill Sans MT"/>
        </w:rPr>
      </w:pPr>
    </w:p>
    <w:p w14:paraId="1413856E" w14:textId="77777777" w:rsidR="009F6CA6" w:rsidRPr="00093C97" w:rsidRDefault="009F6CA6" w:rsidP="00783ACD">
      <w:pPr>
        <w:widowControl w:val="0"/>
        <w:spacing w:after="140" w:line="300" w:lineRule="atLeast"/>
        <w:rPr>
          <w:rFonts w:ascii="Gill Sans MT" w:hAnsi="Gill Sans MT"/>
        </w:rPr>
      </w:pPr>
    </w:p>
    <w:p w14:paraId="4BF28CE0" w14:textId="77777777" w:rsidR="009F6CA6" w:rsidRPr="00093C97" w:rsidRDefault="009F6CA6" w:rsidP="00783ACD">
      <w:pPr>
        <w:widowControl w:val="0"/>
        <w:spacing w:after="140" w:line="300" w:lineRule="atLeast"/>
        <w:rPr>
          <w:rFonts w:ascii="Gill Sans MT" w:hAnsi="Gill Sans MT"/>
        </w:rPr>
      </w:pPr>
    </w:p>
    <w:p w14:paraId="331344E4" w14:textId="77777777" w:rsidR="009F6CA6" w:rsidRPr="00093C97" w:rsidRDefault="009F6CA6" w:rsidP="00783ACD">
      <w:pPr>
        <w:widowControl w:val="0"/>
        <w:spacing w:after="140" w:line="300" w:lineRule="atLeast"/>
        <w:rPr>
          <w:rFonts w:ascii="Gill Sans MT" w:hAnsi="Gill Sans MT"/>
        </w:rPr>
      </w:pPr>
    </w:p>
    <w:p w14:paraId="0546BEAA" w14:textId="77777777" w:rsidR="009F6CA6" w:rsidRPr="00093C97" w:rsidRDefault="009F6CA6" w:rsidP="00783ACD">
      <w:pPr>
        <w:widowControl w:val="0"/>
        <w:spacing w:after="140" w:line="300" w:lineRule="atLeast"/>
        <w:rPr>
          <w:rFonts w:ascii="Gill Sans MT" w:hAnsi="Gill Sans MT"/>
        </w:rPr>
      </w:pPr>
    </w:p>
    <w:p w14:paraId="060D3F73" w14:textId="77777777" w:rsidR="009F6CA6" w:rsidRPr="00093C97" w:rsidRDefault="009F6CA6" w:rsidP="00783ACD">
      <w:pPr>
        <w:widowControl w:val="0"/>
        <w:spacing w:after="140" w:line="300" w:lineRule="atLeast"/>
        <w:rPr>
          <w:rFonts w:ascii="Gill Sans MT" w:hAnsi="Gill Sans MT"/>
        </w:rPr>
      </w:pPr>
      <w:r w:rsidRPr="00093C97">
        <w:rPr>
          <w:rFonts w:ascii="Gill Sans MT" w:hAnsi="Gill Sans MT"/>
          <w:noProof/>
          <w:lang w:eastAsia="en-AU"/>
        </w:rPr>
        <w:drawing>
          <wp:anchor distT="0" distB="0" distL="114300" distR="114300" simplePos="0" relativeHeight="251663360" behindDoc="0" locked="0" layoutInCell="1" allowOverlap="1" wp14:anchorId="3F4CC6AD" wp14:editId="0A5C90B2">
            <wp:simplePos x="0" y="0"/>
            <wp:positionH relativeFrom="column">
              <wp:posOffset>-933450</wp:posOffset>
            </wp:positionH>
            <wp:positionV relativeFrom="paragraph">
              <wp:posOffset>137160</wp:posOffset>
            </wp:positionV>
            <wp:extent cx="7620000" cy="4635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munications.tas.gov.au/channels/logos/basewave/Basewa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7E163" w14:textId="77777777" w:rsidR="009F6CA6" w:rsidRPr="00093C97" w:rsidRDefault="009F6CA6" w:rsidP="00783ACD">
      <w:pPr>
        <w:widowControl w:val="0"/>
        <w:spacing w:after="140" w:line="300" w:lineRule="atLeast"/>
        <w:rPr>
          <w:rFonts w:ascii="Gill Sans MT" w:hAnsi="Gill Sans MT"/>
        </w:rPr>
      </w:pPr>
      <w:r w:rsidRPr="00093C97">
        <w:rPr>
          <w:rFonts w:ascii="Gill Sans MT" w:hAnsi="Gill Sans MT"/>
          <w:noProof/>
          <w:lang w:eastAsia="en-AU"/>
        </w:rPr>
        <w:drawing>
          <wp:anchor distT="0" distB="0" distL="114300" distR="114300" simplePos="0" relativeHeight="251664384" behindDoc="0" locked="0" layoutInCell="1" allowOverlap="1" wp14:anchorId="53E5E351" wp14:editId="701A45B7">
            <wp:simplePos x="0" y="0"/>
            <wp:positionH relativeFrom="column">
              <wp:posOffset>4487849</wp:posOffset>
            </wp:positionH>
            <wp:positionV relativeFrom="paragraph">
              <wp:posOffset>242999</wp:posOffset>
            </wp:positionV>
            <wp:extent cx="1556198" cy="560231"/>
            <wp:effectExtent l="0" t="0" r="6350" b="0"/>
            <wp:wrapNone/>
            <wp:docPr id="1" name="Picture 1" descr="Tasmanian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79_Tas_Gov_no_tag_Spot_hor.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198" cy="5602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E7F29" w14:textId="77777777" w:rsidR="009F6CA6" w:rsidRPr="00093C97" w:rsidRDefault="009F6CA6" w:rsidP="00783ACD">
      <w:pPr>
        <w:widowControl w:val="0"/>
        <w:spacing w:after="140" w:line="300" w:lineRule="atLeast"/>
        <w:rPr>
          <w:rFonts w:ascii="Gill Sans MT" w:hAnsi="Gill Sans MT"/>
        </w:rPr>
      </w:pPr>
    </w:p>
    <w:p w14:paraId="68812CD2" w14:textId="77777777" w:rsidR="009F6CA6" w:rsidRPr="00093C97" w:rsidRDefault="009F6CA6" w:rsidP="00783ACD">
      <w:pPr>
        <w:widowControl w:val="0"/>
        <w:spacing w:after="140" w:line="300" w:lineRule="atLeast"/>
        <w:rPr>
          <w:rFonts w:ascii="Gill Sans MT" w:hAnsi="Gill Sans MT"/>
          <w:sz w:val="28"/>
        </w:rPr>
      </w:pPr>
      <w:r w:rsidRPr="00093C97">
        <w:rPr>
          <w:rFonts w:ascii="Gill Sans MT" w:hAnsi="Gill Sans MT"/>
          <w:sz w:val="28"/>
        </w:rPr>
        <w:t>Interagency Workin</w:t>
      </w:r>
      <w:bookmarkStart w:id="0" w:name="_GoBack"/>
      <w:bookmarkEnd w:id="0"/>
      <w:r w:rsidRPr="00093C97">
        <w:rPr>
          <w:rFonts w:ascii="Gill Sans MT" w:hAnsi="Gill Sans MT"/>
          <w:sz w:val="28"/>
        </w:rPr>
        <w:t>g Group on Drugs</w:t>
      </w:r>
    </w:p>
    <w:p w14:paraId="3EA167E7" w14:textId="77777777" w:rsidR="009F6CA6" w:rsidRPr="00093C97" w:rsidRDefault="009F6CA6" w:rsidP="00783ACD">
      <w:pPr>
        <w:widowControl w:val="0"/>
        <w:spacing w:after="140" w:line="300" w:lineRule="atLeast"/>
        <w:rPr>
          <w:rFonts w:ascii="Gill Sans MT" w:hAnsi="Gill Sans MT"/>
          <w:sz w:val="28"/>
        </w:rPr>
        <w:sectPr w:rsidR="009F6CA6" w:rsidRPr="00093C97" w:rsidSect="0074016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r w:rsidRPr="00093C97">
        <w:rPr>
          <w:rFonts w:ascii="Gill Sans MT" w:hAnsi="Gill Sans MT"/>
          <w:sz w:val="28"/>
        </w:rPr>
        <w:t>Department of Health and Human Services</w:t>
      </w:r>
    </w:p>
    <w:p w14:paraId="511BED2C" w14:textId="77777777" w:rsidR="00EC32DE" w:rsidRPr="00093C97" w:rsidRDefault="00D034DA" w:rsidP="00783ACD">
      <w:pPr>
        <w:pStyle w:val="Heading2"/>
        <w:keepNext w:val="0"/>
        <w:keepLines w:val="0"/>
        <w:widowControl w:val="0"/>
        <w:rPr>
          <w:rFonts w:ascii="Gill Sans MT" w:hAnsi="Gill Sans MT"/>
        </w:rPr>
      </w:pPr>
      <w:r w:rsidRPr="00093C97">
        <w:rPr>
          <w:rFonts w:ascii="Gill Sans MT" w:hAnsi="Gill Sans MT"/>
        </w:rPr>
        <w:lastRenderedPageBreak/>
        <w:t>Message from the Chair</w:t>
      </w:r>
    </w:p>
    <w:p w14:paraId="37668C2C" w14:textId="77777777" w:rsidR="00F83765" w:rsidRPr="00093C97" w:rsidRDefault="00F83765" w:rsidP="00783ACD">
      <w:pPr>
        <w:widowControl w:val="0"/>
        <w:spacing w:after="140" w:line="300" w:lineRule="atLeast"/>
        <w:rPr>
          <w:rFonts w:ascii="Gill Sans MT" w:hAnsi="Gill Sans MT"/>
          <w:lang w:val="en-US"/>
        </w:rPr>
      </w:pPr>
      <w:r w:rsidRPr="00093C97">
        <w:rPr>
          <w:rFonts w:ascii="Gill Sans MT" w:hAnsi="Gill Sans MT"/>
          <w:lang w:val="en-US"/>
        </w:rPr>
        <w:t xml:space="preserve">I am pleased to present the Interagency Working Group on Drugs (IAWGD) Annual Report for the </w:t>
      </w:r>
      <w:r w:rsidR="00207486" w:rsidRPr="00093C97">
        <w:rPr>
          <w:rFonts w:ascii="Gill Sans MT" w:hAnsi="Gill Sans MT"/>
          <w:lang w:val="en-US"/>
        </w:rPr>
        <w:t>2016-17</w:t>
      </w:r>
      <w:r w:rsidRPr="00093C97">
        <w:rPr>
          <w:rFonts w:ascii="Gill Sans MT" w:hAnsi="Gill Sans MT"/>
          <w:lang w:val="en-US"/>
        </w:rPr>
        <w:t xml:space="preserve"> reporting period.  </w:t>
      </w:r>
    </w:p>
    <w:p w14:paraId="741C4FFE" w14:textId="77777777" w:rsidR="00464A7E" w:rsidRPr="00093C97" w:rsidRDefault="00446F22" w:rsidP="00783ACD">
      <w:pPr>
        <w:widowControl w:val="0"/>
        <w:spacing w:after="140" w:line="300" w:lineRule="atLeast"/>
        <w:rPr>
          <w:rFonts w:ascii="Gill Sans MT" w:hAnsi="Gill Sans MT"/>
        </w:rPr>
      </w:pPr>
      <w:r w:rsidRPr="00093C97">
        <w:rPr>
          <w:rFonts w:ascii="Gill Sans MT" w:hAnsi="Gill Sans MT"/>
          <w:lang w:val="en-US"/>
        </w:rPr>
        <w:t xml:space="preserve">Commencing from 1 September 2016, the Liquor and Gaming Branch of the Department of Treasury and Finance completed the amendments and associated regulations to the </w:t>
      </w:r>
      <w:r w:rsidRPr="00093C97">
        <w:rPr>
          <w:rFonts w:ascii="Gill Sans MT" w:hAnsi="Gill Sans MT"/>
          <w:i/>
          <w:lang w:val="en-US"/>
        </w:rPr>
        <w:t>Liquor Licensing Act 1990</w:t>
      </w:r>
      <w:r w:rsidR="00464A7E" w:rsidRPr="00093C97">
        <w:rPr>
          <w:rFonts w:ascii="Gill Sans MT" w:hAnsi="Gill Sans MT"/>
        </w:rPr>
        <w:t>.</w:t>
      </w:r>
    </w:p>
    <w:p w14:paraId="7D35C592" w14:textId="77777777" w:rsidR="003A3978" w:rsidRPr="00093C97" w:rsidRDefault="00464A7E" w:rsidP="00783ACD">
      <w:pPr>
        <w:widowControl w:val="0"/>
        <w:spacing w:after="140" w:line="300" w:lineRule="atLeast"/>
        <w:rPr>
          <w:rFonts w:ascii="Gill Sans MT" w:hAnsi="Gill Sans MT"/>
        </w:rPr>
      </w:pPr>
      <w:r w:rsidRPr="00093C97">
        <w:rPr>
          <w:rFonts w:ascii="Gill Sans MT" w:hAnsi="Gill Sans MT"/>
        </w:rPr>
        <w:t>A desktop review of actions and activities under the Tasmanian Alcohol Action Framework (TAAF) was completed by the Alcohol Advisory Group</w:t>
      </w:r>
      <w:r w:rsidR="00E674D0" w:rsidRPr="00093C97">
        <w:rPr>
          <w:rFonts w:ascii="Gill Sans MT" w:hAnsi="Gill Sans MT"/>
        </w:rPr>
        <w:t xml:space="preserve">.  The report </w:t>
      </w:r>
      <w:r w:rsidR="00E674D0" w:rsidRPr="00093C97">
        <w:rPr>
          <w:rFonts w:ascii="Gill Sans MT" w:hAnsi="Gill Sans MT"/>
          <w:lang w:eastAsia="en-AU"/>
        </w:rPr>
        <w:t>demonstrates significant engagement of stakeholders and summarises the range of activities undertaken by many Government agencies, non-government organisations and local councils to address alcohol-related harm within their community</w:t>
      </w:r>
      <w:r w:rsidR="00E674D0" w:rsidRPr="00093C97">
        <w:rPr>
          <w:rFonts w:ascii="Gill Sans MT" w:hAnsi="Gill Sans MT"/>
        </w:rPr>
        <w:t xml:space="preserve">.  </w:t>
      </w:r>
      <w:r w:rsidR="003A3978" w:rsidRPr="00093C97">
        <w:rPr>
          <w:rFonts w:ascii="Gill Sans MT" w:hAnsi="Gill Sans MT"/>
        </w:rPr>
        <w:t>T</w:t>
      </w:r>
      <w:r w:rsidR="00E674D0" w:rsidRPr="00093C97">
        <w:rPr>
          <w:rFonts w:ascii="Gill Sans MT" w:hAnsi="Gill Sans MT"/>
        </w:rPr>
        <w:t>he</w:t>
      </w:r>
      <w:r w:rsidR="003A3978" w:rsidRPr="00093C97">
        <w:rPr>
          <w:rFonts w:ascii="Gill Sans MT" w:hAnsi="Gill Sans MT"/>
        </w:rPr>
        <w:t xml:space="preserve"> TAAF was extended to enable the Alcohol Simulation Modelling Project to be undertaken</w:t>
      </w:r>
      <w:r w:rsidR="008D6C5B" w:rsidRPr="00093C97">
        <w:rPr>
          <w:rFonts w:ascii="Gill Sans MT" w:hAnsi="Gill Sans MT"/>
        </w:rPr>
        <w:t>,</w:t>
      </w:r>
      <w:r w:rsidR="003A3978" w:rsidRPr="00093C97">
        <w:rPr>
          <w:rFonts w:ascii="Gill Sans MT" w:hAnsi="Gill Sans MT"/>
        </w:rPr>
        <w:t xml:space="preserve"> and </w:t>
      </w:r>
      <w:r w:rsidR="008D6C5B" w:rsidRPr="00093C97">
        <w:rPr>
          <w:rFonts w:ascii="Gill Sans MT" w:hAnsi="Gill Sans MT"/>
        </w:rPr>
        <w:t xml:space="preserve">to </w:t>
      </w:r>
      <w:r w:rsidR="003A3978" w:rsidRPr="00093C97">
        <w:rPr>
          <w:rFonts w:ascii="Gill Sans MT" w:hAnsi="Gill Sans MT"/>
        </w:rPr>
        <w:t>inform the development of a new TAAF.</w:t>
      </w:r>
    </w:p>
    <w:p w14:paraId="12E96D73" w14:textId="77777777" w:rsidR="00464A7E" w:rsidRPr="00093C97" w:rsidRDefault="00464A7E" w:rsidP="00783ACD">
      <w:pPr>
        <w:widowControl w:val="0"/>
        <w:spacing w:after="140" w:line="300" w:lineRule="atLeast"/>
        <w:rPr>
          <w:rFonts w:ascii="Gill Sans MT" w:hAnsi="Gill Sans MT"/>
        </w:rPr>
      </w:pPr>
      <w:r w:rsidRPr="00093C97">
        <w:rPr>
          <w:rFonts w:ascii="Gill Sans MT" w:hAnsi="Gill Sans MT"/>
        </w:rPr>
        <w:t>The IAWGD also agreed to support an alcohol simulation modelling project being led by the Department of Health and Human Services</w:t>
      </w:r>
      <w:r w:rsidR="00E674D0" w:rsidRPr="00093C97">
        <w:rPr>
          <w:rFonts w:ascii="Gill Sans MT" w:hAnsi="Gill Sans MT"/>
        </w:rPr>
        <w:t xml:space="preserve"> (DHHS)</w:t>
      </w:r>
      <w:r w:rsidRPr="00093C97">
        <w:rPr>
          <w:rFonts w:ascii="Gill Sans MT" w:hAnsi="Gill Sans MT"/>
        </w:rPr>
        <w:t>, Public Health Services.  The Australia</w:t>
      </w:r>
      <w:r w:rsidR="00E674D0" w:rsidRPr="00093C97">
        <w:rPr>
          <w:rFonts w:ascii="Gill Sans MT" w:hAnsi="Gill Sans MT"/>
        </w:rPr>
        <w:t xml:space="preserve">n Prevention Partnership Centre, </w:t>
      </w:r>
      <w:r w:rsidRPr="00093C97">
        <w:rPr>
          <w:rFonts w:ascii="Gill Sans MT" w:hAnsi="Gill Sans MT"/>
        </w:rPr>
        <w:t xml:space="preserve">Sax Institute of New South Wales has been engaged to develop a simulation model of alcohol use in Tasmania, to forecast the effectiveness of a variety of approaches to reducing alcohol-related </w:t>
      </w:r>
      <w:proofErr w:type="gramStart"/>
      <w:r w:rsidRPr="00093C97">
        <w:rPr>
          <w:rFonts w:ascii="Gill Sans MT" w:hAnsi="Gill Sans MT"/>
        </w:rPr>
        <w:t>harm, and</w:t>
      </w:r>
      <w:proofErr w:type="gramEnd"/>
      <w:r w:rsidRPr="00093C97">
        <w:rPr>
          <w:rFonts w:ascii="Gill Sans MT" w:hAnsi="Gill Sans MT"/>
        </w:rPr>
        <w:t xml:space="preserve"> explore what combination of interventions is likely to produce maximum community-wide impact.  </w:t>
      </w:r>
      <w:r w:rsidR="00B02B20" w:rsidRPr="00093C97">
        <w:rPr>
          <w:rFonts w:ascii="Gill Sans MT" w:hAnsi="Gill Sans MT"/>
        </w:rPr>
        <w:t>The project findings</w:t>
      </w:r>
      <w:r w:rsidR="006E1F91" w:rsidRPr="00093C97">
        <w:rPr>
          <w:rFonts w:ascii="Gill Sans MT" w:hAnsi="Gill Sans MT"/>
        </w:rPr>
        <w:t xml:space="preserve"> will help inform the new TAAF.</w:t>
      </w:r>
    </w:p>
    <w:p w14:paraId="20188E8D" w14:textId="77777777" w:rsidR="00B02B20" w:rsidRPr="00093C97" w:rsidRDefault="00464A7E" w:rsidP="00783ACD">
      <w:pPr>
        <w:widowControl w:val="0"/>
        <w:spacing w:after="140" w:line="300" w:lineRule="atLeast"/>
        <w:rPr>
          <w:rFonts w:ascii="Gill Sans MT" w:hAnsi="Gill Sans MT" w:cs="Arial"/>
        </w:rPr>
      </w:pPr>
      <w:r w:rsidRPr="00093C97">
        <w:rPr>
          <w:rFonts w:ascii="Gill Sans MT" w:hAnsi="Gill Sans MT"/>
        </w:rPr>
        <w:t>T</w:t>
      </w:r>
      <w:r w:rsidR="004A1021" w:rsidRPr="00093C97">
        <w:rPr>
          <w:rFonts w:ascii="Gill Sans MT" w:hAnsi="Gill Sans MT"/>
        </w:rPr>
        <w:t xml:space="preserve">he IAWGD continues to lead the Tasmanian response to the use of </w:t>
      </w:r>
      <w:r w:rsidRPr="00093C97">
        <w:rPr>
          <w:rFonts w:ascii="Gill Sans MT" w:hAnsi="Gill Sans MT"/>
        </w:rPr>
        <w:t>crystal methamphetamine (</w:t>
      </w:r>
      <w:r w:rsidR="00851919" w:rsidRPr="00093C97">
        <w:rPr>
          <w:rFonts w:ascii="Gill Sans MT" w:hAnsi="Gill Sans MT"/>
        </w:rPr>
        <w:t>Ice</w:t>
      </w:r>
      <w:r w:rsidRPr="00093C97">
        <w:rPr>
          <w:rFonts w:ascii="Gill Sans MT" w:hAnsi="Gill Sans MT"/>
        </w:rPr>
        <w:t>)</w:t>
      </w:r>
      <w:r w:rsidR="004A1021" w:rsidRPr="00093C97">
        <w:rPr>
          <w:rFonts w:ascii="Gill Sans MT" w:hAnsi="Gill Sans MT"/>
        </w:rPr>
        <w:t xml:space="preserve"> and contribute to national efforts</w:t>
      </w:r>
      <w:r w:rsidR="004D6397" w:rsidRPr="00093C97">
        <w:rPr>
          <w:rFonts w:ascii="Gill Sans MT" w:hAnsi="Gill Sans MT"/>
        </w:rPr>
        <w:t xml:space="preserve"> under the National Ice Action </w:t>
      </w:r>
      <w:r w:rsidR="00165218" w:rsidRPr="00093C97">
        <w:rPr>
          <w:rFonts w:ascii="Gill Sans MT" w:hAnsi="Gill Sans MT"/>
        </w:rPr>
        <w:t>Strategy</w:t>
      </w:r>
      <w:r w:rsidR="00834EBD" w:rsidRPr="00093C97">
        <w:rPr>
          <w:rFonts w:ascii="Gill Sans MT" w:hAnsi="Gill Sans MT"/>
        </w:rPr>
        <w:t xml:space="preserve"> (NIAS)</w:t>
      </w:r>
      <w:r w:rsidR="004A1021" w:rsidRPr="00093C97">
        <w:rPr>
          <w:rFonts w:ascii="Gill Sans MT" w:hAnsi="Gill Sans MT"/>
        </w:rPr>
        <w:t>.</w:t>
      </w:r>
      <w:r w:rsidR="004A1021" w:rsidRPr="00093C97">
        <w:rPr>
          <w:rFonts w:ascii="Gill Sans MT" w:hAnsi="Gill Sans MT"/>
          <w:lang w:val="en-US"/>
        </w:rPr>
        <w:t xml:space="preserve">  </w:t>
      </w:r>
      <w:r w:rsidR="000D0E38" w:rsidRPr="00093C97">
        <w:rPr>
          <w:rFonts w:ascii="Gill Sans MT" w:hAnsi="Gill Sans MT"/>
          <w:lang w:val="en-US"/>
        </w:rPr>
        <w:t xml:space="preserve">The establishment of the </w:t>
      </w:r>
      <w:r w:rsidR="00B02B20" w:rsidRPr="00093C97">
        <w:rPr>
          <w:rFonts w:ascii="Gill Sans MT" w:hAnsi="Gill Sans MT"/>
          <w:lang w:val="en-US"/>
        </w:rPr>
        <w:t>new Ministerial Drug and Alcohol Forum</w:t>
      </w:r>
      <w:r w:rsidR="000D0E38" w:rsidRPr="00093C97">
        <w:rPr>
          <w:rFonts w:ascii="Gill Sans MT" w:hAnsi="Gill Sans MT"/>
          <w:lang w:val="en-US"/>
        </w:rPr>
        <w:t xml:space="preserve"> </w:t>
      </w:r>
      <w:r w:rsidR="00165218" w:rsidRPr="00093C97">
        <w:rPr>
          <w:rFonts w:ascii="Gill Sans MT" w:hAnsi="Gill Sans MT"/>
          <w:lang w:val="en-US"/>
        </w:rPr>
        <w:t xml:space="preserve">(MDAF) </w:t>
      </w:r>
      <w:r w:rsidR="000D0E38" w:rsidRPr="00093C97">
        <w:rPr>
          <w:rFonts w:ascii="Gill Sans MT" w:hAnsi="Gill Sans MT"/>
          <w:lang w:val="en-US"/>
        </w:rPr>
        <w:t>and its advisory body, the</w:t>
      </w:r>
      <w:r w:rsidR="000D0E38" w:rsidRPr="00093C97">
        <w:rPr>
          <w:rFonts w:ascii="Gill Sans MT" w:hAnsi="Gill Sans MT" w:cs="Arial"/>
        </w:rPr>
        <w:t xml:space="preserve"> National Drug Strategy Committee (NDSC) is fully supported in Tasmania by both the Minister for Health and Minister for Police, Fire and </w:t>
      </w:r>
      <w:r w:rsidR="00F30D50" w:rsidRPr="00093C97">
        <w:rPr>
          <w:rFonts w:ascii="Gill Sans MT" w:hAnsi="Gill Sans MT" w:cs="Arial"/>
        </w:rPr>
        <w:t>Emergency Management.  Tasmania</w:t>
      </w:r>
      <w:r w:rsidR="000D0E38" w:rsidRPr="00093C97">
        <w:rPr>
          <w:rFonts w:ascii="Gill Sans MT" w:hAnsi="Gill Sans MT" w:cs="Arial"/>
        </w:rPr>
        <w:t xml:space="preserve"> is represented on the NDSC</w:t>
      </w:r>
      <w:r w:rsidR="008A0CE8" w:rsidRPr="00093C97">
        <w:rPr>
          <w:rFonts w:ascii="Gill Sans MT" w:hAnsi="Gill Sans MT" w:cs="Arial"/>
        </w:rPr>
        <w:t xml:space="preserve"> </w:t>
      </w:r>
      <w:r w:rsidR="000D0E38" w:rsidRPr="00093C97">
        <w:rPr>
          <w:rFonts w:ascii="Gill Sans MT" w:hAnsi="Gill Sans MT" w:cs="Arial"/>
        </w:rPr>
        <w:t>by me and the IAWGD Deputy Chair, Assistant Commissioner Glenn Frame</w:t>
      </w:r>
      <w:r w:rsidR="00165218" w:rsidRPr="00093C97">
        <w:rPr>
          <w:rFonts w:ascii="Gill Sans MT" w:hAnsi="Gill Sans MT" w:cs="Arial"/>
        </w:rPr>
        <w:t>.</w:t>
      </w:r>
      <w:r w:rsidR="000D0E38" w:rsidRPr="00093C97">
        <w:rPr>
          <w:rFonts w:ascii="Gill Sans MT" w:hAnsi="Gill Sans MT" w:cs="Arial"/>
        </w:rPr>
        <w:t xml:space="preserve"> </w:t>
      </w:r>
    </w:p>
    <w:p w14:paraId="69216C6B" w14:textId="77777777" w:rsidR="00EB1F92" w:rsidRPr="00093C97" w:rsidRDefault="00EB1F92" w:rsidP="00783ACD">
      <w:pPr>
        <w:widowControl w:val="0"/>
        <w:spacing w:after="140" w:line="300" w:lineRule="atLeast"/>
        <w:rPr>
          <w:rFonts w:ascii="Gill Sans MT" w:hAnsi="Gill Sans MT"/>
        </w:rPr>
      </w:pPr>
      <w:r w:rsidRPr="00093C97">
        <w:rPr>
          <w:rFonts w:ascii="Gill Sans MT" w:hAnsi="Gill Sans MT"/>
          <w:lang w:val="en-US"/>
        </w:rPr>
        <w:t xml:space="preserve">Amendments have been made to the </w:t>
      </w:r>
      <w:r w:rsidRPr="00093C97">
        <w:rPr>
          <w:rFonts w:ascii="Gill Sans MT" w:hAnsi="Gill Sans MT"/>
          <w:i/>
        </w:rPr>
        <w:t>Sentencing Act 1997</w:t>
      </w:r>
      <w:r w:rsidRPr="00093C97">
        <w:rPr>
          <w:rFonts w:ascii="Gill Sans MT" w:hAnsi="Gill Sans MT"/>
        </w:rPr>
        <w:t xml:space="preserve"> to allow offenders who appear before the Supreme Court and whose offending is linked to illicit drug use to be eligible for the Court Mandated Drug Diversion program managed through the Magistrates Court.  The Department of Police, Fire and Emergency Management (DPFEM) and Department of Justice (DoJ) continue to pursue legislative reforms on matters of unexplained wealth, and to increase control over the presence and identification of organised criminal groups.  </w:t>
      </w:r>
    </w:p>
    <w:p w14:paraId="424943BA" w14:textId="77777777" w:rsidR="00EB1F92" w:rsidRPr="00093C97" w:rsidRDefault="00EB1F92" w:rsidP="00783ACD">
      <w:pPr>
        <w:widowControl w:val="0"/>
        <w:spacing w:after="140" w:line="300" w:lineRule="atLeast"/>
        <w:rPr>
          <w:rFonts w:ascii="Gill Sans MT" w:hAnsi="Gill Sans MT"/>
        </w:rPr>
      </w:pPr>
      <w:r w:rsidRPr="00093C97">
        <w:rPr>
          <w:rFonts w:ascii="Gill Sans MT" w:hAnsi="Gill Sans MT"/>
        </w:rPr>
        <w:t xml:space="preserve">DHHS initiated an independent analysis of the current alcohol and other drugs </w:t>
      </w:r>
      <w:r w:rsidR="006E1F91" w:rsidRPr="00093C97">
        <w:rPr>
          <w:rFonts w:ascii="Gill Sans MT" w:hAnsi="Gill Sans MT"/>
        </w:rPr>
        <w:t xml:space="preserve">treatment </w:t>
      </w:r>
      <w:r w:rsidRPr="00093C97">
        <w:rPr>
          <w:rFonts w:ascii="Gill Sans MT" w:hAnsi="Gill Sans MT"/>
        </w:rPr>
        <w:t xml:space="preserve">service </w:t>
      </w:r>
      <w:r w:rsidR="006E1F91" w:rsidRPr="00093C97">
        <w:rPr>
          <w:rFonts w:ascii="Gill Sans MT" w:hAnsi="Gill Sans MT"/>
        </w:rPr>
        <w:t>system, which resulted in</w:t>
      </w:r>
      <w:r w:rsidRPr="00093C97">
        <w:rPr>
          <w:rFonts w:ascii="Gill Sans MT" w:hAnsi="Gill Sans MT"/>
        </w:rPr>
        <w:t xml:space="preserve"> a suite of internal technical papers that will </w:t>
      </w:r>
      <w:r w:rsidR="006E1F91" w:rsidRPr="00093C97">
        <w:rPr>
          <w:rFonts w:ascii="Gill Sans MT" w:hAnsi="Gill Sans MT"/>
        </w:rPr>
        <w:t>be used to inform the development of an alcohol and other drugs service system framework. The framework will be the new plan to guide the development, funding and delivery of alcohol and other drugs (AOD) services in Tasmania.</w:t>
      </w:r>
    </w:p>
    <w:p w14:paraId="0FB7FDE8" w14:textId="77777777" w:rsidR="00D877D9" w:rsidRPr="00093C97" w:rsidRDefault="00165218" w:rsidP="00783ACD">
      <w:pPr>
        <w:widowControl w:val="0"/>
        <w:spacing w:after="140" w:line="300" w:lineRule="atLeast"/>
        <w:rPr>
          <w:rFonts w:ascii="Gill Sans MT" w:hAnsi="Gill Sans MT"/>
        </w:rPr>
      </w:pPr>
      <w:r w:rsidRPr="00093C97">
        <w:rPr>
          <w:rFonts w:ascii="Gill Sans MT" w:hAnsi="Gill Sans MT"/>
        </w:rPr>
        <w:t xml:space="preserve">Much of the work undertaken under the auspice of the IAWGD in this reporting period will continue into 2017-18.  I thank all member agencies and organisations for their continued support of and input into this ongoing work to </w:t>
      </w:r>
      <w:r w:rsidR="006C7F59" w:rsidRPr="00093C97">
        <w:rPr>
          <w:rFonts w:ascii="Gill Sans MT" w:hAnsi="Gill Sans MT"/>
        </w:rPr>
        <w:t>prevent or reduce the harmful effects of alcohol, tobacco and other drugs use in Tasmania.</w:t>
      </w:r>
    </w:p>
    <w:p w14:paraId="20945DC3" w14:textId="77777777" w:rsidR="0058164F" w:rsidRPr="00093C97" w:rsidRDefault="0058164F" w:rsidP="00783ACD">
      <w:pPr>
        <w:widowControl w:val="0"/>
        <w:spacing w:after="0" w:line="240" w:lineRule="auto"/>
        <w:rPr>
          <w:rFonts w:ascii="Gill Sans MT" w:hAnsi="Gill Sans MT"/>
        </w:rPr>
      </w:pPr>
    </w:p>
    <w:p w14:paraId="76DDC952" w14:textId="77777777" w:rsidR="00850773" w:rsidRPr="00093C97" w:rsidRDefault="00850773" w:rsidP="00783ACD">
      <w:pPr>
        <w:widowControl w:val="0"/>
        <w:spacing w:after="0" w:line="240" w:lineRule="auto"/>
        <w:rPr>
          <w:rFonts w:ascii="Gill Sans MT" w:hAnsi="Gill Sans MT"/>
        </w:rPr>
      </w:pPr>
    </w:p>
    <w:p w14:paraId="35813392" w14:textId="77777777" w:rsidR="006C7F59" w:rsidRPr="00093C97" w:rsidRDefault="006C7F59" w:rsidP="00783ACD">
      <w:pPr>
        <w:widowControl w:val="0"/>
        <w:spacing w:after="0" w:line="240" w:lineRule="auto"/>
        <w:rPr>
          <w:rFonts w:ascii="Gill Sans MT" w:hAnsi="Gill Sans MT"/>
        </w:rPr>
      </w:pPr>
    </w:p>
    <w:p w14:paraId="38A4275B" w14:textId="77777777" w:rsidR="00BD4FE4" w:rsidRPr="00093C97" w:rsidRDefault="00D034DA" w:rsidP="00783ACD">
      <w:pPr>
        <w:widowControl w:val="0"/>
        <w:spacing w:after="0" w:line="240" w:lineRule="auto"/>
        <w:rPr>
          <w:rFonts w:ascii="Gill Sans MT" w:hAnsi="Gill Sans MT"/>
        </w:rPr>
      </w:pPr>
      <w:r w:rsidRPr="00093C97">
        <w:rPr>
          <w:rFonts w:ascii="Gill Sans MT" w:hAnsi="Gill Sans MT"/>
        </w:rPr>
        <w:t>Michael Reynolds</w:t>
      </w:r>
    </w:p>
    <w:p w14:paraId="0C869432" w14:textId="77777777" w:rsidR="00BD4FE4" w:rsidRPr="00093C97" w:rsidRDefault="00D034DA" w:rsidP="00783ACD">
      <w:pPr>
        <w:widowControl w:val="0"/>
        <w:spacing w:after="0" w:line="240" w:lineRule="auto"/>
        <w:rPr>
          <w:rFonts w:ascii="Gill Sans MT" w:hAnsi="Gill Sans MT"/>
        </w:rPr>
      </w:pPr>
      <w:r w:rsidRPr="00093C97">
        <w:rPr>
          <w:rFonts w:ascii="Gill Sans MT" w:hAnsi="Gill Sans MT"/>
        </w:rPr>
        <w:t>Chair - Interagency Working Group on Drugs</w:t>
      </w:r>
    </w:p>
    <w:p w14:paraId="21EFF63E" w14:textId="77777777" w:rsidR="00BD4FE4" w:rsidRPr="00093C97" w:rsidRDefault="008A0CE8" w:rsidP="00783ACD">
      <w:pPr>
        <w:widowControl w:val="0"/>
        <w:spacing w:before="120" w:after="0" w:line="240" w:lineRule="auto"/>
        <w:rPr>
          <w:rFonts w:ascii="Gill Sans MT" w:hAnsi="Gill Sans MT"/>
        </w:rPr>
      </w:pPr>
      <w:r w:rsidRPr="00093C97">
        <w:rPr>
          <w:rFonts w:ascii="Gill Sans MT" w:hAnsi="Gill Sans MT"/>
        </w:rPr>
        <w:t xml:space="preserve">           </w:t>
      </w:r>
      <w:r w:rsidR="00972C89" w:rsidRPr="00093C97">
        <w:rPr>
          <w:rFonts w:ascii="Gill Sans MT" w:hAnsi="Gill Sans MT"/>
        </w:rPr>
        <w:t>January 2018</w:t>
      </w:r>
    </w:p>
    <w:p w14:paraId="0DC66538" w14:textId="77777777" w:rsidR="006C7F59" w:rsidRPr="00093C97" w:rsidRDefault="006C7F59" w:rsidP="00783ACD">
      <w:pPr>
        <w:widowControl w:val="0"/>
        <w:spacing w:after="140" w:line="300" w:lineRule="atLeast"/>
        <w:rPr>
          <w:rFonts w:ascii="Gill Sans MT" w:hAnsi="Gill Sans MT"/>
          <w:b/>
          <w:sz w:val="32"/>
        </w:rPr>
        <w:sectPr w:rsidR="006C7F59" w:rsidRPr="00093C97" w:rsidSect="006C7F59">
          <w:pgSz w:w="11906" w:h="16838"/>
          <w:pgMar w:top="851" w:right="1440" w:bottom="680" w:left="1440" w:header="709" w:footer="709" w:gutter="0"/>
          <w:pgNumType w:start="1"/>
          <w:cols w:space="708"/>
          <w:docGrid w:linePitch="360"/>
        </w:sectPr>
      </w:pPr>
    </w:p>
    <w:p w14:paraId="0F25CDC5" w14:textId="77777777" w:rsidR="00D034DA" w:rsidRPr="00093C97" w:rsidRDefault="00207486" w:rsidP="00783ACD">
      <w:pPr>
        <w:pStyle w:val="Heading2"/>
        <w:keepNext w:val="0"/>
        <w:keepLines w:val="0"/>
        <w:widowControl w:val="0"/>
        <w:rPr>
          <w:rFonts w:ascii="Gill Sans MT" w:hAnsi="Gill Sans MT"/>
        </w:rPr>
      </w:pPr>
      <w:r w:rsidRPr="00093C97">
        <w:rPr>
          <w:rFonts w:ascii="Gill Sans MT" w:hAnsi="Gill Sans MT"/>
        </w:rPr>
        <w:lastRenderedPageBreak/>
        <w:t>Key Achievements for 2016-2017</w:t>
      </w:r>
    </w:p>
    <w:p w14:paraId="3853A96D" w14:textId="77777777" w:rsidR="0043763B" w:rsidRPr="00093C97" w:rsidRDefault="0043763B" w:rsidP="00783ACD">
      <w:pPr>
        <w:pStyle w:val="Heading3"/>
        <w:keepNext w:val="0"/>
        <w:keepLines w:val="0"/>
        <w:widowControl w:val="0"/>
        <w:rPr>
          <w:rFonts w:ascii="Gill Sans MT" w:hAnsi="Gill Sans MT"/>
        </w:rPr>
      </w:pPr>
      <w:r w:rsidRPr="00093C97">
        <w:rPr>
          <w:rFonts w:ascii="Gill Sans MT" w:hAnsi="Gill Sans MT"/>
        </w:rPr>
        <w:t>Continuing to respond to the use of crystal methamphetamine (Ice) in Tasmania</w:t>
      </w:r>
      <w:r w:rsidR="00613B49" w:rsidRPr="00093C97">
        <w:rPr>
          <w:rFonts w:ascii="Gill Sans MT" w:hAnsi="Gill Sans MT"/>
        </w:rPr>
        <w:t xml:space="preserve"> and contributing to the National </w:t>
      </w:r>
      <w:r w:rsidR="00C946C7" w:rsidRPr="00093C97">
        <w:rPr>
          <w:rFonts w:ascii="Gill Sans MT" w:hAnsi="Gill Sans MT"/>
        </w:rPr>
        <w:t xml:space="preserve">Ice Action </w:t>
      </w:r>
      <w:r w:rsidR="00613B49" w:rsidRPr="00093C97">
        <w:rPr>
          <w:rFonts w:ascii="Gill Sans MT" w:hAnsi="Gill Sans MT"/>
        </w:rPr>
        <w:t>Strategy</w:t>
      </w:r>
    </w:p>
    <w:p w14:paraId="7C979089" w14:textId="77777777" w:rsidR="00272EEC" w:rsidRPr="00093C97" w:rsidRDefault="00272EEC" w:rsidP="00783ACD">
      <w:pPr>
        <w:widowControl w:val="0"/>
        <w:spacing w:after="140" w:line="300" w:lineRule="atLeast"/>
        <w:rPr>
          <w:rFonts w:ascii="Gill Sans MT" w:hAnsi="Gill Sans MT"/>
        </w:rPr>
      </w:pPr>
      <w:r w:rsidRPr="00093C97">
        <w:rPr>
          <w:rFonts w:ascii="Gill Sans MT" w:hAnsi="Gill Sans MT"/>
        </w:rPr>
        <w:t>The IAWGD continues to lead the Tasmanian response to the use of crystal methamphetamine and contribute to national efforts.</w:t>
      </w:r>
    </w:p>
    <w:p w14:paraId="5D90E515" w14:textId="77777777" w:rsidR="00275346" w:rsidRPr="00093C97" w:rsidRDefault="00275346" w:rsidP="00783ACD">
      <w:pPr>
        <w:widowControl w:val="0"/>
        <w:spacing w:after="140" w:line="300" w:lineRule="atLeast"/>
        <w:rPr>
          <w:rFonts w:ascii="Gill Sans MT" w:hAnsi="Gill Sans MT"/>
        </w:rPr>
      </w:pPr>
      <w:r w:rsidRPr="00093C97">
        <w:rPr>
          <w:rFonts w:ascii="Gill Sans MT" w:hAnsi="Gill Sans MT"/>
        </w:rPr>
        <w:t xml:space="preserve">During </w:t>
      </w:r>
      <w:r w:rsidR="00272EEC" w:rsidRPr="00093C97">
        <w:rPr>
          <w:rFonts w:ascii="Gill Sans MT" w:hAnsi="Gill Sans MT"/>
        </w:rPr>
        <w:t>2016-</w:t>
      </w:r>
      <w:r w:rsidR="00DA7AA2" w:rsidRPr="00093C97">
        <w:rPr>
          <w:rFonts w:ascii="Gill Sans MT" w:hAnsi="Gill Sans MT"/>
        </w:rPr>
        <w:t>20</w:t>
      </w:r>
      <w:r w:rsidR="00272EEC" w:rsidRPr="00093C97">
        <w:rPr>
          <w:rFonts w:ascii="Gill Sans MT" w:hAnsi="Gill Sans MT"/>
        </w:rPr>
        <w:t>17</w:t>
      </w:r>
      <w:r w:rsidRPr="00093C97">
        <w:rPr>
          <w:rFonts w:ascii="Gill Sans MT" w:hAnsi="Gill Sans MT"/>
        </w:rPr>
        <w:t xml:space="preserve">, the following </w:t>
      </w:r>
      <w:r w:rsidR="00BC1308" w:rsidRPr="00093C97">
        <w:rPr>
          <w:rFonts w:ascii="Gill Sans MT" w:hAnsi="Gill Sans MT"/>
        </w:rPr>
        <w:t>has</w:t>
      </w:r>
      <w:r w:rsidR="009A48C1" w:rsidRPr="00093C97">
        <w:rPr>
          <w:rFonts w:ascii="Gill Sans MT" w:hAnsi="Gill Sans MT"/>
        </w:rPr>
        <w:t xml:space="preserve"> </w:t>
      </w:r>
      <w:r w:rsidRPr="00093C97">
        <w:rPr>
          <w:rFonts w:ascii="Gill Sans MT" w:hAnsi="Gill Sans MT"/>
        </w:rPr>
        <w:t>occurred:</w:t>
      </w:r>
    </w:p>
    <w:p w14:paraId="1AB146A6" w14:textId="77777777" w:rsidR="005F1387" w:rsidRPr="00093C97" w:rsidRDefault="005F1387" w:rsidP="00783ACD">
      <w:pPr>
        <w:pStyle w:val="ListParagraph"/>
        <w:widowControl w:val="0"/>
        <w:numPr>
          <w:ilvl w:val="0"/>
          <w:numId w:val="9"/>
        </w:numPr>
        <w:spacing w:after="140" w:line="300" w:lineRule="atLeast"/>
        <w:contextualSpacing w:val="0"/>
        <w:rPr>
          <w:rFonts w:ascii="Gill Sans MT" w:hAnsi="Gill Sans MT"/>
        </w:rPr>
      </w:pPr>
      <w:r w:rsidRPr="00093C97">
        <w:rPr>
          <w:rFonts w:ascii="Gill Sans MT" w:hAnsi="Gill Sans MT"/>
        </w:rPr>
        <w:t xml:space="preserve">The </w:t>
      </w:r>
      <w:r w:rsidRPr="00093C97">
        <w:rPr>
          <w:rFonts w:ascii="Gill Sans MT" w:hAnsi="Gill Sans MT"/>
          <w:i/>
        </w:rPr>
        <w:t>Sentencing Act 1997</w:t>
      </w:r>
      <w:r w:rsidRPr="00093C97">
        <w:rPr>
          <w:rFonts w:ascii="Gill Sans MT" w:hAnsi="Gill Sans MT"/>
        </w:rPr>
        <w:t xml:space="preserve"> was amended to allow offenders who appear before the Supreme Court and whose offending is linked to illicit drug use to be eligible for the Court Mandated Drug Diversion program managed through the Magistrates Court.  These legislative amendments make more people eligible for the program and widen the pool of those who can be treated for illicit drug use.  </w:t>
      </w:r>
      <w:r w:rsidR="00446F22" w:rsidRPr="00093C97">
        <w:rPr>
          <w:rFonts w:ascii="Gill Sans MT" w:hAnsi="Gill Sans MT"/>
        </w:rPr>
        <w:t>The amendments</w:t>
      </w:r>
      <w:r w:rsidRPr="00093C97">
        <w:rPr>
          <w:rFonts w:ascii="Gill Sans MT" w:hAnsi="Gill Sans MT"/>
        </w:rPr>
        <w:t xml:space="preserve"> commenced February 2017.</w:t>
      </w:r>
    </w:p>
    <w:p w14:paraId="1DF016FD" w14:textId="77777777" w:rsidR="005F1387" w:rsidRPr="00093C97" w:rsidRDefault="005F1387" w:rsidP="00783ACD">
      <w:pPr>
        <w:pStyle w:val="ListParagraph"/>
        <w:widowControl w:val="0"/>
        <w:numPr>
          <w:ilvl w:val="0"/>
          <w:numId w:val="9"/>
        </w:numPr>
        <w:spacing w:after="140" w:line="300" w:lineRule="atLeast"/>
        <w:contextualSpacing w:val="0"/>
        <w:rPr>
          <w:rFonts w:ascii="Gill Sans MT" w:hAnsi="Gill Sans MT"/>
        </w:rPr>
      </w:pPr>
      <w:r w:rsidRPr="00093C97">
        <w:rPr>
          <w:rFonts w:ascii="Gill Sans MT" w:hAnsi="Gill Sans MT"/>
        </w:rPr>
        <w:t>Tasmania Police continued to work with the Office of the Director of Public Prosecutions on matters of unexplained wealth, as part of efforts to disrupt organised criminal activity.</w:t>
      </w:r>
      <w:r w:rsidR="00DD53FD" w:rsidRPr="00093C97">
        <w:rPr>
          <w:rFonts w:ascii="Gill Sans MT" w:hAnsi="Gill Sans MT"/>
        </w:rPr>
        <w:t xml:space="preserve">  </w:t>
      </w:r>
    </w:p>
    <w:p w14:paraId="1EAEA2BB" w14:textId="77777777" w:rsidR="007B0AC9" w:rsidRPr="00093C97" w:rsidRDefault="00DD53FD" w:rsidP="00783ACD">
      <w:pPr>
        <w:pStyle w:val="ListParagraph"/>
        <w:widowControl w:val="0"/>
        <w:numPr>
          <w:ilvl w:val="0"/>
          <w:numId w:val="9"/>
        </w:numPr>
        <w:shd w:val="clear" w:color="auto" w:fill="FFFFFF"/>
        <w:spacing w:after="140" w:line="300" w:lineRule="atLeast"/>
        <w:contextualSpacing w:val="0"/>
        <w:rPr>
          <w:rFonts w:ascii="Gill Sans MT" w:eastAsia="Times New Roman" w:hAnsi="Gill Sans MT" w:cs="Times New Roman"/>
          <w:color w:val="000000"/>
          <w:lang w:eastAsia="en-AU"/>
        </w:rPr>
      </w:pPr>
      <w:r w:rsidRPr="00093C97">
        <w:rPr>
          <w:rFonts w:ascii="Gill Sans MT" w:hAnsi="Gill Sans MT"/>
        </w:rPr>
        <w:t>Tasmania Police is progressing legislative reforms to increase control over the presence and identification of organised criminal groups.  This includes the restriction of firearms ownership of proscribed groups and improving fortification laws.  An independent review of Part 9 of</w:t>
      </w:r>
      <w:r w:rsidR="00446F22" w:rsidRPr="00093C97">
        <w:rPr>
          <w:rFonts w:ascii="Gill Sans MT" w:hAnsi="Gill Sans MT"/>
        </w:rPr>
        <w:t xml:space="preserve"> the</w:t>
      </w:r>
      <w:r w:rsidRPr="00093C97">
        <w:rPr>
          <w:rFonts w:ascii="Gill Sans MT" w:hAnsi="Gill Sans MT"/>
        </w:rPr>
        <w:t xml:space="preserve"> </w:t>
      </w:r>
      <w:r w:rsidRPr="00093C97">
        <w:rPr>
          <w:rFonts w:ascii="Gill Sans MT" w:hAnsi="Gill Sans MT"/>
          <w:i/>
        </w:rPr>
        <w:t>Crime (Confiscation of Profits) Act</w:t>
      </w:r>
      <w:r w:rsidR="007B0AC9" w:rsidRPr="00093C97">
        <w:rPr>
          <w:rFonts w:ascii="Gill Sans MT" w:hAnsi="Gill Sans MT"/>
          <w:i/>
        </w:rPr>
        <w:t xml:space="preserve"> 1993</w:t>
      </w:r>
      <w:r w:rsidRPr="00093C97">
        <w:rPr>
          <w:rFonts w:ascii="Gill Sans MT" w:hAnsi="Gill Sans MT"/>
        </w:rPr>
        <w:t xml:space="preserve"> has commenced.</w:t>
      </w:r>
      <w:r w:rsidR="003822D5" w:rsidRPr="00093C97">
        <w:rPr>
          <w:rFonts w:ascii="Gill Sans MT" w:hAnsi="Gill Sans MT"/>
        </w:rPr>
        <w:t xml:space="preserve"> </w:t>
      </w:r>
      <w:r w:rsidR="007B0AC9" w:rsidRPr="00093C97">
        <w:rPr>
          <w:rFonts w:ascii="Gill Sans MT" w:eastAsia="Times New Roman" w:hAnsi="Gill Sans MT" w:cs="Times New Roman"/>
          <w:color w:val="000000"/>
          <w:lang w:eastAsia="en-AU"/>
        </w:rPr>
        <w:t>The intention of Part 9 of the Act is:</w:t>
      </w:r>
    </w:p>
    <w:p w14:paraId="2CA5A9F7" w14:textId="77777777" w:rsidR="007B0AC9" w:rsidRPr="00093C97" w:rsidRDefault="007B0AC9" w:rsidP="00783ACD">
      <w:pPr>
        <w:widowControl w:val="0"/>
        <w:numPr>
          <w:ilvl w:val="0"/>
          <w:numId w:val="30"/>
        </w:numPr>
        <w:shd w:val="clear" w:color="auto" w:fill="FFFFFF"/>
        <w:spacing w:after="140" w:line="300" w:lineRule="atLeast"/>
        <w:ind w:left="1134" w:hanging="567"/>
        <w:contextualSpacing/>
        <w:rPr>
          <w:rFonts w:ascii="Gill Sans MT" w:eastAsia="Times New Roman" w:hAnsi="Gill Sans MT" w:cs="Times New Roman"/>
          <w:color w:val="000000"/>
          <w:lang w:eastAsia="en-AU"/>
        </w:rPr>
      </w:pPr>
      <w:r w:rsidRPr="00093C97">
        <w:rPr>
          <w:rFonts w:ascii="Gill Sans MT" w:eastAsia="Times New Roman" w:hAnsi="Gill Sans MT" w:cs="Times New Roman"/>
          <w:color w:val="000000"/>
          <w:lang w:eastAsia="en-AU"/>
        </w:rPr>
        <w:t>to deter organised crime by targeting the ‘profit’ and removing the funds which would otherwise be available for use in further criminal activities;</w:t>
      </w:r>
    </w:p>
    <w:p w14:paraId="6A762DE3" w14:textId="77777777" w:rsidR="007B0AC9" w:rsidRPr="00093C97" w:rsidRDefault="007B0AC9" w:rsidP="00783ACD">
      <w:pPr>
        <w:widowControl w:val="0"/>
        <w:numPr>
          <w:ilvl w:val="0"/>
          <w:numId w:val="30"/>
        </w:numPr>
        <w:shd w:val="clear" w:color="auto" w:fill="FFFFFF"/>
        <w:spacing w:after="140" w:line="300" w:lineRule="atLeast"/>
        <w:ind w:left="1134" w:hanging="567"/>
        <w:contextualSpacing/>
        <w:rPr>
          <w:rFonts w:ascii="Gill Sans MT" w:eastAsia="Times New Roman" w:hAnsi="Gill Sans MT" w:cs="Times New Roman"/>
          <w:color w:val="000000"/>
          <w:lang w:eastAsia="en-AU"/>
        </w:rPr>
      </w:pPr>
      <w:r w:rsidRPr="00093C97">
        <w:rPr>
          <w:rFonts w:ascii="Gill Sans MT" w:eastAsia="Times New Roman" w:hAnsi="Gill Sans MT" w:cs="Times New Roman"/>
          <w:color w:val="000000"/>
          <w:lang w:eastAsia="en-AU"/>
        </w:rPr>
        <w:t>to target people who organise and derive profit from crime and whose wealth exceeds the value of their lawful earnings but who may be difficult to prosecute and convict of specific crimes or offence</w:t>
      </w:r>
      <w:r w:rsidR="00446F22" w:rsidRPr="00093C97">
        <w:rPr>
          <w:rFonts w:ascii="Gill Sans MT" w:eastAsia="Times New Roman" w:hAnsi="Gill Sans MT" w:cs="Times New Roman"/>
          <w:color w:val="000000"/>
          <w:lang w:eastAsia="en-AU"/>
        </w:rPr>
        <w:t>s</w:t>
      </w:r>
      <w:r w:rsidRPr="00093C97">
        <w:rPr>
          <w:rFonts w:ascii="Gill Sans MT" w:eastAsia="Times New Roman" w:hAnsi="Gill Sans MT" w:cs="Times New Roman"/>
          <w:color w:val="000000"/>
          <w:lang w:eastAsia="en-AU"/>
        </w:rPr>
        <w:t>;</w:t>
      </w:r>
    </w:p>
    <w:p w14:paraId="52CB5067" w14:textId="77777777" w:rsidR="007B0AC9" w:rsidRPr="00093C97" w:rsidRDefault="007B0AC9" w:rsidP="00783ACD">
      <w:pPr>
        <w:widowControl w:val="0"/>
        <w:numPr>
          <w:ilvl w:val="0"/>
          <w:numId w:val="30"/>
        </w:numPr>
        <w:shd w:val="clear" w:color="auto" w:fill="FFFFFF"/>
        <w:spacing w:after="140" w:line="300" w:lineRule="atLeast"/>
        <w:ind w:left="1134" w:hanging="567"/>
        <w:contextualSpacing/>
        <w:rPr>
          <w:rFonts w:ascii="Gill Sans MT" w:eastAsia="Times New Roman" w:hAnsi="Gill Sans MT" w:cs="Times New Roman"/>
          <w:color w:val="000000"/>
          <w:lang w:eastAsia="en-AU"/>
        </w:rPr>
      </w:pPr>
      <w:r w:rsidRPr="00093C97">
        <w:rPr>
          <w:rFonts w:ascii="Gill Sans MT" w:eastAsia="Times New Roman" w:hAnsi="Gill Sans MT" w:cs="Times New Roman"/>
          <w:color w:val="000000"/>
          <w:lang w:eastAsia="en-AU"/>
        </w:rPr>
        <w:t>to provide for unexplained wealth declarations to be made without having to prove that the respondent has engaged in specific criminal activity or prove a link between the commission of a specific offence and the person’s wealth;</w:t>
      </w:r>
    </w:p>
    <w:p w14:paraId="5CD871AF" w14:textId="77777777" w:rsidR="007B0AC9" w:rsidRPr="00093C97" w:rsidRDefault="007B0AC9" w:rsidP="00783ACD">
      <w:pPr>
        <w:widowControl w:val="0"/>
        <w:numPr>
          <w:ilvl w:val="0"/>
          <w:numId w:val="30"/>
        </w:numPr>
        <w:shd w:val="clear" w:color="auto" w:fill="FFFFFF"/>
        <w:spacing w:after="140" w:line="300" w:lineRule="atLeast"/>
        <w:ind w:left="1134" w:hanging="567"/>
        <w:contextualSpacing/>
        <w:rPr>
          <w:rFonts w:ascii="Gill Sans MT" w:eastAsia="Times New Roman" w:hAnsi="Gill Sans MT" w:cs="Times New Roman"/>
          <w:color w:val="000000"/>
          <w:lang w:eastAsia="en-AU"/>
        </w:rPr>
      </w:pPr>
      <w:r w:rsidRPr="00093C97">
        <w:rPr>
          <w:rFonts w:ascii="Gill Sans MT" w:eastAsia="Times New Roman" w:hAnsi="Gill Sans MT" w:cs="Times New Roman"/>
          <w:color w:val="000000"/>
          <w:lang w:eastAsia="en-AU"/>
        </w:rPr>
        <w:t>to introduce non-conviction based civil forfeiture laws involving a presumption that respondents have not lawfully acquired their wealth unless they prove otherwise.</w:t>
      </w:r>
    </w:p>
    <w:p w14:paraId="768E207C" w14:textId="77777777" w:rsidR="00A414CB" w:rsidRPr="00093C97" w:rsidRDefault="00A414CB" w:rsidP="00783ACD">
      <w:pPr>
        <w:pStyle w:val="GovHeading3"/>
        <w:widowControl w:val="0"/>
        <w:numPr>
          <w:ilvl w:val="0"/>
          <w:numId w:val="9"/>
        </w:numPr>
        <w:spacing w:before="0" w:after="140" w:line="300" w:lineRule="atLeast"/>
        <w:rPr>
          <w:rFonts w:ascii="Gill Sans MT" w:hAnsi="Gill Sans MT"/>
          <w:sz w:val="22"/>
          <w:szCs w:val="22"/>
        </w:rPr>
      </w:pPr>
      <w:r w:rsidRPr="00093C97">
        <w:rPr>
          <w:rFonts w:ascii="Gill Sans MT" w:hAnsi="Gill Sans MT"/>
          <w:sz w:val="22"/>
          <w:szCs w:val="22"/>
        </w:rPr>
        <w:t xml:space="preserve">The controlled drugs, plant and precursor schedules of the </w:t>
      </w:r>
      <w:r w:rsidRPr="00093C97">
        <w:rPr>
          <w:rFonts w:ascii="Gill Sans MT" w:hAnsi="Gill Sans MT"/>
          <w:i/>
          <w:iCs/>
          <w:sz w:val="22"/>
          <w:szCs w:val="22"/>
        </w:rPr>
        <w:t>Misuse of Drugs Act 2001</w:t>
      </w:r>
      <w:r w:rsidR="00446F22" w:rsidRPr="00093C97">
        <w:rPr>
          <w:rFonts w:ascii="Gill Sans MT" w:hAnsi="Gill Sans MT"/>
          <w:i/>
          <w:iCs/>
          <w:sz w:val="22"/>
          <w:szCs w:val="22"/>
        </w:rPr>
        <w:t>,</w:t>
      </w:r>
      <w:r w:rsidR="00446F22" w:rsidRPr="00093C97">
        <w:rPr>
          <w:rFonts w:ascii="Gill Sans MT" w:hAnsi="Gill Sans MT"/>
          <w:sz w:val="22"/>
          <w:szCs w:val="22"/>
        </w:rPr>
        <w:t xml:space="preserve"> </w:t>
      </w:r>
      <w:r w:rsidR="00834EBD" w:rsidRPr="00093C97">
        <w:rPr>
          <w:rFonts w:ascii="Gill Sans MT" w:hAnsi="Gill Sans MT"/>
          <w:sz w:val="22"/>
          <w:szCs w:val="22"/>
        </w:rPr>
        <w:t>administered by</w:t>
      </w:r>
      <w:r w:rsidR="00107FB6" w:rsidRPr="00093C97">
        <w:rPr>
          <w:rFonts w:ascii="Gill Sans MT" w:hAnsi="Gill Sans MT"/>
          <w:sz w:val="22"/>
          <w:szCs w:val="22"/>
        </w:rPr>
        <w:t xml:space="preserve"> DoJ</w:t>
      </w:r>
      <w:r w:rsidR="00DA7AA2" w:rsidRPr="00093C97">
        <w:rPr>
          <w:rFonts w:ascii="Gill Sans MT" w:hAnsi="Gill Sans MT"/>
          <w:sz w:val="22"/>
          <w:szCs w:val="22"/>
        </w:rPr>
        <w:t xml:space="preserve"> continues to be</w:t>
      </w:r>
      <w:r w:rsidRPr="00093C97">
        <w:rPr>
          <w:rFonts w:ascii="Gill Sans MT" w:hAnsi="Gill Sans MT"/>
          <w:sz w:val="22"/>
          <w:szCs w:val="22"/>
        </w:rPr>
        <w:t xml:space="preserve"> reviewed annually </w:t>
      </w:r>
      <w:r w:rsidR="00446F22" w:rsidRPr="00093C97">
        <w:rPr>
          <w:rFonts w:ascii="Gill Sans MT" w:hAnsi="Gill Sans MT"/>
          <w:sz w:val="22"/>
          <w:szCs w:val="22"/>
        </w:rPr>
        <w:t>by DPFEM in conjunction with</w:t>
      </w:r>
      <w:r w:rsidR="00834EBD" w:rsidRPr="00093C97">
        <w:rPr>
          <w:rFonts w:ascii="Gill Sans MT" w:hAnsi="Gill Sans MT"/>
          <w:sz w:val="22"/>
          <w:szCs w:val="22"/>
        </w:rPr>
        <w:t xml:space="preserve"> </w:t>
      </w:r>
      <w:r w:rsidR="00446F22" w:rsidRPr="00093C97">
        <w:rPr>
          <w:rFonts w:ascii="Gill Sans MT" w:hAnsi="Gill Sans MT"/>
          <w:sz w:val="22"/>
          <w:szCs w:val="22"/>
        </w:rPr>
        <w:t>DHHS</w:t>
      </w:r>
      <w:r w:rsidRPr="00093C97">
        <w:rPr>
          <w:rFonts w:ascii="Gill Sans MT" w:hAnsi="Gill Sans MT"/>
          <w:sz w:val="22"/>
          <w:szCs w:val="22"/>
        </w:rPr>
        <w:t>, Forensic Science Service Tasmania and other relevant stakeholders.</w:t>
      </w:r>
    </w:p>
    <w:p w14:paraId="4581340D" w14:textId="77777777" w:rsidR="005C3332" w:rsidRPr="00093C97" w:rsidRDefault="005C3332" w:rsidP="00783ACD">
      <w:pPr>
        <w:pStyle w:val="Heading3"/>
        <w:keepNext w:val="0"/>
        <w:keepLines w:val="0"/>
        <w:widowControl w:val="0"/>
        <w:rPr>
          <w:rFonts w:ascii="Gill Sans MT" w:hAnsi="Gill Sans MT"/>
        </w:rPr>
      </w:pPr>
      <w:r w:rsidRPr="00093C97">
        <w:rPr>
          <w:rFonts w:ascii="Gill Sans MT" w:hAnsi="Gill Sans MT"/>
        </w:rPr>
        <w:t>NW Review Report recommendations</w:t>
      </w:r>
    </w:p>
    <w:p w14:paraId="08B6AC12" w14:textId="77777777" w:rsidR="00BB799A" w:rsidRPr="00093C97" w:rsidRDefault="00BB799A" w:rsidP="00783ACD">
      <w:pPr>
        <w:pStyle w:val="ListBullet"/>
        <w:widowControl w:val="0"/>
        <w:rPr>
          <w:szCs w:val="22"/>
        </w:rPr>
      </w:pPr>
      <w:r w:rsidRPr="00093C97">
        <w:rPr>
          <w:szCs w:val="22"/>
        </w:rPr>
        <w:t xml:space="preserve">In 2015 additional funding of $4.8 million over four years was provided to tackle the problem of Ice and other drugs in Tasmania.  This funding is being used to implement recommendations from the </w:t>
      </w:r>
      <w:r w:rsidRPr="00093C97">
        <w:rPr>
          <w:i/>
          <w:szCs w:val="22"/>
        </w:rPr>
        <w:t xml:space="preserve">Review of Drug Use and Service Responses in North West Tasmania </w:t>
      </w:r>
      <w:r w:rsidRPr="00093C97">
        <w:rPr>
          <w:szCs w:val="22"/>
        </w:rPr>
        <w:t xml:space="preserve">final report (NW Review Report). </w:t>
      </w:r>
    </w:p>
    <w:p w14:paraId="62F3DDBE" w14:textId="77777777" w:rsidR="00BB799A" w:rsidRPr="00093C97" w:rsidRDefault="00927316" w:rsidP="00783ACD">
      <w:pPr>
        <w:pStyle w:val="ListBullet2"/>
        <w:widowControl w:val="0"/>
        <w:numPr>
          <w:ilvl w:val="0"/>
          <w:numId w:val="0"/>
        </w:numPr>
        <w:spacing w:after="140" w:line="300" w:lineRule="atLeast"/>
        <w:rPr>
          <w:rFonts w:ascii="Gill Sans MT" w:hAnsi="Gill Sans MT"/>
        </w:rPr>
      </w:pPr>
      <w:r w:rsidRPr="00093C97">
        <w:rPr>
          <w:rFonts w:ascii="Gill Sans MT" w:hAnsi="Gill Sans MT"/>
        </w:rPr>
        <w:t>Arising from recommendations of the NW Review Report, t</w:t>
      </w:r>
      <w:r w:rsidR="00BB799A" w:rsidRPr="00093C97">
        <w:rPr>
          <w:rFonts w:ascii="Gill Sans MT" w:hAnsi="Gill Sans MT"/>
        </w:rPr>
        <w:t xml:space="preserve">he Mental Health, Alcohol and Drug </w:t>
      </w:r>
      <w:r w:rsidR="00446F22" w:rsidRPr="00093C97">
        <w:rPr>
          <w:rFonts w:ascii="Gill Sans MT" w:hAnsi="Gill Sans MT"/>
        </w:rPr>
        <w:t xml:space="preserve">Directorate (Directorate) of </w:t>
      </w:r>
      <w:r w:rsidRPr="00093C97">
        <w:rPr>
          <w:rFonts w:ascii="Gill Sans MT" w:hAnsi="Gill Sans MT"/>
        </w:rPr>
        <w:t>DHHS</w:t>
      </w:r>
      <w:r w:rsidR="00BB799A" w:rsidRPr="00093C97">
        <w:rPr>
          <w:rFonts w:ascii="Gill Sans MT" w:hAnsi="Gill Sans MT"/>
        </w:rPr>
        <w:t xml:space="preserve"> is leading the development of the Alcohol and Other Drugs Service System Framework (the Framework), which will be the new plan to guide the development, funding and delivery of alcohol and other drugs</w:t>
      </w:r>
      <w:r w:rsidR="00446F22" w:rsidRPr="00093C97">
        <w:rPr>
          <w:rFonts w:ascii="Gill Sans MT" w:hAnsi="Gill Sans MT"/>
        </w:rPr>
        <w:t xml:space="preserve"> (AOD) services in Tasmania.  The Framework</w:t>
      </w:r>
      <w:r w:rsidR="00BB799A" w:rsidRPr="00093C97">
        <w:rPr>
          <w:rFonts w:ascii="Gill Sans MT" w:hAnsi="Gill Sans MT"/>
        </w:rPr>
        <w:t xml:space="preserve"> will assist in the configuration and commissioning of public-funded AOD services in the </w:t>
      </w:r>
      <w:proofErr w:type="gramStart"/>
      <w:r w:rsidR="00BB799A" w:rsidRPr="00093C97">
        <w:rPr>
          <w:rFonts w:ascii="Gill Sans MT" w:hAnsi="Gill Sans MT"/>
        </w:rPr>
        <w:t>future, and</w:t>
      </w:r>
      <w:proofErr w:type="gramEnd"/>
      <w:r w:rsidR="00BB799A" w:rsidRPr="00093C97">
        <w:rPr>
          <w:rFonts w:ascii="Gill Sans MT" w:hAnsi="Gill Sans MT"/>
        </w:rPr>
        <w:t xml:space="preserve"> will also provide a framework to inform better coordinated service system responses across all settings that provide services to people who receive some form of AOD treatment.  </w:t>
      </w:r>
    </w:p>
    <w:p w14:paraId="408EAC7F" w14:textId="77777777" w:rsidR="00BB799A" w:rsidRPr="00093C97" w:rsidRDefault="00446F22" w:rsidP="00783ACD">
      <w:pPr>
        <w:widowControl w:val="0"/>
        <w:spacing w:after="140" w:line="300" w:lineRule="atLeast"/>
        <w:rPr>
          <w:rFonts w:ascii="Gill Sans MT" w:hAnsi="Gill Sans MT"/>
        </w:rPr>
      </w:pPr>
      <w:r w:rsidRPr="00093C97">
        <w:rPr>
          <w:rFonts w:ascii="Gill Sans MT" w:hAnsi="Gill Sans MT"/>
        </w:rPr>
        <w:t>During 2016-2017</w:t>
      </w:r>
      <w:r w:rsidR="00BB799A" w:rsidRPr="00093C97">
        <w:rPr>
          <w:rFonts w:ascii="Gill Sans MT" w:hAnsi="Gill Sans MT"/>
        </w:rPr>
        <w:t xml:space="preserve">, Siggins Miller Consultants Pty Ltd who are specialists in the AOD area were </w:t>
      </w:r>
      <w:r w:rsidR="00BB799A" w:rsidRPr="00093C97">
        <w:rPr>
          <w:rFonts w:ascii="Gill Sans MT" w:hAnsi="Gill Sans MT"/>
        </w:rPr>
        <w:lastRenderedPageBreak/>
        <w:t>engaged to undertake an independent analysis of the current AOD service system</w:t>
      </w:r>
      <w:r w:rsidR="002A27A6" w:rsidRPr="00093C97">
        <w:rPr>
          <w:rFonts w:ascii="Gill Sans MT" w:hAnsi="Gill Sans MT"/>
        </w:rPr>
        <w:t xml:space="preserve">.  This work will </w:t>
      </w:r>
      <w:r w:rsidR="00BB799A" w:rsidRPr="00093C97">
        <w:rPr>
          <w:rFonts w:ascii="Gill Sans MT" w:hAnsi="Gill Sans MT"/>
        </w:rPr>
        <w:t xml:space="preserve">inform the development of the Framework.  </w:t>
      </w:r>
    </w:p>
    <w:p w14:paraId="3C7C623F" w14:textId="77777777" w:rsidR="007C6DD1" w:rsidRPr="00093C97" w:rsidRDefault="00446F22" w:rsidP="00783ACD">
      <w:pPr>
        <w:pStyle w:val="Heading3"/>
        <w:keepNext w:val="0"/>
        <w:keepLines w:val="0"/>
        <w:widowControl w:val="0"/>
        <w:rPr>
          <w:rFonts w:ascii="Gill Sans MT" w:hAnsi="Gill Sans MT"/>
        </w:rPr>
      </w:pPr>
      <w:r w:rsidRPr="00093C97">
        <w:rPr>
          <w:rFonts w:ascii="Gill Sans MT" w:hAnsi="Gill Sans MT"/>
        </w:rPr>
        <w:t>Wastew</w:t>
      </w:r>
      <w:r w:rsidR="007C6DD1" w:rsidRPr="00093C97">
        <w:rPr>
          <w:rFonts w:ascii="Gill Sans MT" w:hAnsi="Gill Sans MT"/>
        </w:rPr>
        <w:t>ater Analysis</w:t>
      </w:r>
    </w:p>
    <w:p w14:paraId="0AD1EA20" w14:textId="77777777" w:rsidR="00930FED" w:rsidRPr="00093C97" w:rsidRDefault="00930FED" w:rsidP="00783ACD">
      <w:pPr>
        <w:pStyle w:val="ListBullet"/>
        <w:widowControl w:val="0"/>
      </w:pPr>
      <w:r w:rsidRPr="00093C97">
        <w:t xml:space="preserve">The national wastewater drug monitoring program (NWDMP) arises from a recommendation of the National Ice Taskforce to improve and expand available data sources to provide a more accurate understanding of drug use in </w:t>
      </w:r>
      <w:proofErr w:type="gramStart"/>
      <w:r w:rsidRPr="00093C97">
        <w:t>Australia, and</w:t>
      </w:r>
      <w:proofErr w:type="gramEnd"/>
      <w:r w:rsidRPr="00093C97">
        <w:t xml:space="preserve"> is included in the </w:t>
      </w:r>
      <w:r w:rsidR="00834EBD" w:rsidRPr="00093C97">
        <w:t>NIAS.</w:t>
      </w:r>
      <w:r w:rsidRPr="00093C97">
        <w:t xml:space="preserve">  </w:t>
      </w:r>
    </w:p>
    <w:p w14:paraId="320F7BEF" w14:textId="77777777" w:rsidR="00930FED" w:rsidRPr="00093C97" w:rsidRDefault="00930FED" w:rsidP="00783ACD">
      <w:pPr>
        <w:pStyle w:val="ListBullet"/>
        <w:widowControl w:val="0"/>
      </w:pPr>
      <w:r w:rsidRPr="00093C97">
        <w:t>The NWDMP is managed by the University of Queensland (UQ) and the University of South Australia for the Australian Criminal Intelligence Commission (ACIC).  The first of nine reports on the NWDMP wa</w:t>
      </w:r>
      <w:r w:rsidR="00107FB6" w:rsidRPr="00093C97">
        <w:t xml:space="preserve">s released in </w:t>
      </w:r>
      <w:proofErr w:type="gramStart"/>
      <w:r w:rsidR="00107FB6" w:rsidRPr="00093C97">
        <w:t>March 2017, and</w:t>
      </w:r>
      <w:proofErr w:type="gramEnd"/>
      <w:r w:rsidRPr="00093C97">
        <w:t xml:space="preserve"> included data across </w:t>
      </w:r>
      <w:r w:rsidR="00107FB6" w:rsidRPr="00093C97">
        <w:t>fifty-one</w:t>
      </w:r>
      <w:r w:rsidRPr="00093C97">
        <w:t xml:space="preserve"> sites in capital cities and</w:t>
      </w:r>
      <w:r w:rsidR="00107FB6" w:rsidRPr="00093C97">
        <w:t xml:space="preserve"> regional areas, including seven </w:t>
      </w:r>
      <w:r w:rsidRPr="00093C97">
        <w:t xml:space="preserve">in Tasmania.   </w:t>
      </w:r>
    </w:p>
    <w:p w14:paraId="17123D0B" w14:textId="77777777" w:rsidR="00930FED" w:rsidRPr="00093C97" w:rsidRDefault="00930FED" w:rsidP="00783ACD">
      <w:pPr>
        <w:pStyle w:val="ListBullet"/>
        <w:widowControl w:val="0"/>
      </w:pPr>
      <w:r w:rsidRPr="00093C97">
        <w:t>Complementary to the national monitoring program, the IAWGD considered a pro</w:t>
      </w:r>
      <w:r w:rsidR="00326F87" w:rsidRPr="00093C97">
        <w:t>posal from a partnership of University of Tasmania (</w:t>
      </w:r>
      <w:proofErr w:type="spellStart"/>
      <w:r w:rsidR="00326F87" w:rsidRPr="00093C97">
        <w:t>UTas</w:t>
      </w:r>
      <w:proofErr w:type="spellEnd"/>
      <w:r w:rsidR="00326F87" w:rsidRPr="00093C97">
        <w:t>) and UQ researchers</w:t>
      </w:r>
      <w:r w:rsidRPr="00093C97">
        <w:t xml:space="preserve"> to support a</w:t>
      </w:r>
      <w:r w:rsidR="00326F87" w:rsidRPr="00093C97">
        <w:t>n</w:t>
      </w:r>
      <w:r w:rsidRPr="00093C97">
        <w:t xml:space="preserve"> </w:t>
      </w:r>
      <w:r w:rsidR="00326F87" w:rsidRPr="00093C97">
        <w:t>Australian Research Council (ARC) Linkage Grant submission. The pr</w:t>
      </w:r>
      <w:r w:rsidR="00107FB6" w:rsidRPr="00093C97">
        <w:t>oposed research would use wastewater analysis at discrete</w:t>
      </w:r>
      <w:r w:rsidR="00326F87" w:rsidRPr="00093C97">
        <w:t xml:space="preserve"> sites</w:t>
      </w:r>
      <w:r w:rsidR="00107FB6" w:rsidRPr="00093C97">
        <w:t xml:space="preserve"> (to be agreed upon)</w:t>
      </w:r>
      <w:r w:rsidR="00326F87" w:rsidRPr="00093C97">
        <w:t xml:space="preserve"> in Tasmania to assist to measure the impact of specific law enforcement, health </w:t>
      </w:r>
      <w:r w:rsidR="00272EEC" w:rsidRPr="00093C97">
        <w:t>and/</w:t>
      </w:r>
      <w:r w:rsidR="00326F87" w:rsidRPr="00093C97">
        <w:t>or education intervention(s) wi</w:t>
      </w:r>
      <w:r w:rsidR="00E674D0" w:rsidRPr="00093C97">
        <w:t>thin Tasmanian communities.  In-</w:t>
      </w:r>
      <w:r w:rsidR="00326F87" w:rsidRPr="00093C97">
        <w:t>principle support has been provided</w:t>
      </w:r>
      <w:r w:rsidR="0032151F" w:rsidRPr="00093C97">
        <w:t xml:space="preserve"> for matched funding</w:t>
      </w:r>
      <w:r w:rsidR="00326F87" w:rsidRPr="00093C97">
        <w:t>,</w:t>
      </w:r>
      <w:r w:rsidR="0032151F" w:rsidRPr="00093C97">
        <w:t xml:space="preserve"> subject to the successful outcome of the ARC grant submission.</w:t>
      </w:r>
    </w:p>
    <w:p w14:paraId="31BC91D5" w14:textId="77777777" w:rsidR="00C1339B" w:rsidRPr="00093C97" w:rsidRDefault="00C1339B" w:rsidP="00783ACD">
      <w:pPr>
        <w:pStyle w:val="Heading2"/>
        <w:keepNext w:val="0"/>
        <w:keepLines w:val="0"/>
        <w:widowControl w:val="0"/>
        <w:rPr>
          <w:rFonts w:ascii="Gill Sans MT" w:hAnsi="Gill Sans MT"/>
        </w:rPr>
      </w:pPr>
      <w:r w:rsidRPr="00093C97">
        <w:rPr>
          <w:rFonts w:ascii="Gill Sans MT" w:hAnsi="Gill Sans MT"/>
        </w:rPr>
        <w:t xml:space="preserve">Tasmanian Alcohol Action Framework 2010 </w:t>
      </w:r>
      <w:r w:rsidR="00A032A5" w:rsidRPr="00093C97">
        <w:rPr>
          <w:rFonts w:ascii="Gill Sans MT" w:hAnsi="Gill Sans MT"/>
        </w:rPr>
        <w:t>–</w:t>
      </w:r>
      <w:r w:rsidRPr="00093C97">
        <w:rPr>
          <w:rFonts w:ascii="Gill Sans MT" w:hAnsi="Gill Sans MT"/>
        </w:rPr>
        <w:t xml:space="preserve"> </w:t>
      </w:r>
      <w:r w:rsidR="00A032A5" w:rsidRPr="00093C97">
        <w:rPr>
          <w:rFonts w:ascii="Gill Sans MT" w:hAnsi="Gill Sans MT"/>
        </w:rPr>
        <w:t>2015 (TAAF)</w:t>
      </w:r>
    </w:p>
    <w:p w14:paraId="2A33731E" w14:textId="77777777" w:rsidR="005F1D37" w:rsidRPr="00093C97" w:rsidRDefault="005F1D37" w:rsidP="00783ACD">
      <w:pPr>
        <w:pStyle w:val="BulletedListLevel1"/>
        <w:keepLines w:val="0"/>
        <w:widowControl w:val="0"/>
        <w:numPr>
          <w:ilvl w:val="0"/>
          <w:numId w:val="0"/>
        </w:numPr>
        <w:rPr>
          <w:sz w:val="22"/>
          <w:szCs w:val="22"/>
          <w:lang w:eastAsia="en-AU"/>
        </w:rPr>
      </w:pPr>
      <w:r w:rsidRPr="00093C97">
        <w:rPr>
          <w:sz w:val="22"/>
          <w:szCs w:val="22"/>
          <w:lang w:eastAsia="en-AU"/>
        </w:rPr>
        <w:t xml:space="preserve">Through the Alcohol Advisory Group (AAG) a desktop review of actions and activities over the life of the TAAF was completed, endorsed by the IAWGD and presented to the Minister for Health. It demonstrates significant engagement of stakeholders and summarises the range of activities undertaken by many Government agencies, non-government organisations and local councils to address alcohol-related harm within their community.  </w:t>
      </w:r>
    </w:p>
    <w:p w14:paraId="12D41E77" w14:textId="77777777" w:rsidR="005F1D37" w:rsidRPr="00093C97" w:rsidRDefault="005F1D37" w:rsidP="00783ACD">
      <w:pPr>
        <w:pStyle w:val="ListBullet"/>
        <w:widowControl w:val="0"/>
        <w:tabs>
          <w:tab w:val="left" w:pos="1134"/>
          <w:tab w:val="left" w:pos="3119"/>
        </w:tabs>
        <w:rPr>
          <w:szCs w:val="22"/>
          <w:lang w:eastAsia="ja-JP"/>
        </w:rPr>
      </w:pPr>
      <w:r w:rsidRPr="00093C97">
        <w:rPr>
          <w:szCs w:val="22"/>
          <w:lang w:eastAsia="ja-JP"/>
        </w:rPr>
        <w:t>Available data indicates:</w:t>
      </w:r>
    </w:p>
    <w:p w14:paraId="6EA18987" w14:textId="77777777" w:rsidR="005F1D37" w:rsidRPr="00093C97" w:rsidRDefault="005F1D37" w:rsidP="00783ACD">
      <w:pPr>
        <w:pStyle w:val="ListBullet2"/>
        <w:widowControl w:val="0"/>
        <w:numPr>
          <w:ilvl w:val="0"/>
          <w:numId w:val="26"/>
        </w:numPr>
        <w:spacing w:after="140" w:line="300" w:lineRule="atLeast"/>
        <w:ind w:left="1281" w:hanging="357"/>
        <w:rPr>
          <w:rFonts w:ascii="Gill Sans MT" w:hAnsi="Gill Sans MT"/>
          <w:lang w:eastAsia="ja-JP"/>
        </w:rPr>
      </w:pPr>
      <w:r w:rsidRPr="00093C97">
        <w:rPr>
          <w:rFonts w:ascii="Gill Sans MT" w:hAnsi="Gill Sans MT"/>
          <w:lang w:eastAsia="ja-JP"/>
        </w:rPr>
        <w:t xml:space="preserve">Some reductions in lifetime and single occasion risks from alcohol consumption </w:t>
      </w:r>
    </w:p>
    <w:p w14:paraId="4625F921" w14:textId="77777777" w:rsidR="005F1D37" w:rsidRPr="00093C97" w:rsidRDefault="005F1D37" w:rsidP="00783ACD">
      <w:pPr>
        <w:pStyle w:val="ListBullet2"/>
        <w:widowControl w:val="0"/>
        <w:numPr>
          <w:ilvl w:val="0"/>
          <w:numId w:val="26"/>
        </w:numPr>
        <w:spacing w:after="140" w:line="300" w:lineRule="atLeast"/>
        <w:ind w:left="1281" w:hanging="357"/>
        <w:rPr>
          <w:rFonts w:ascii="Gill Sans MT" w:hAnsi="Gill Sans MT"/>
          <w:lang w:eastAsia="ja-JP"/>
        </w:rPr>
      </w:pPr>
      <w:r w:rsidRPr="00093C97">
        <w:rPr>
          <w:rFonts w:ascii="Gill Sans MT" w:hAnsi="Gill Sans MT"/>
          <w:lang w:eastAsia="ja-JP"/>
        </w:rPr>
        <w:t>No significant difference in underage drinking in recent years</w:t>
      </w:r>
    </w:p>
    <w:p w14:paraId="39D32ED8" w14:textId="77777777" w:rsidR="005F1D37" w:rsidRPr="00093C97" w:rsidRDefault="005F1D37" w:rsidP="00783ACD">
      <w:pPr>
        <w:pStyle w:val="ListBullet2"/>
        <w:widowControl w:val="0"/>
        <w:numPr>
          <w:ilvl w:val="0"/>
          <w:numId w:val="26"/>
        </w:numPr>
        <w:spacing w:after="140" w:line="300" w:lineRule="atLeast"/>
        <w:ind w:left="1281" w:hanging="357"/>
        <w:rPr>
          <w:rFonts w:ascii="Gill Sans MT" w:hAnsi="Gill Sans MT"/>
        </w:rPr>
      </w:pPr>
      <w:r w:rsidRPr="00093C97">
        <w:rPr>
          <w:rFonts w:ascii="Gill Sans MT" w:hAnsi="Gill Sans MT"/>
          <w:lang w:eastAsia="ja-JP"/>
        </w:rPr>
        <w:t>The number of women drinking alcohol in pregnancy has decreased in recent years</w:t>
      </w:r>
    </w:p>
    <w:p w14:paraId="75B8F5B9" w14:textId="77777777" w:rsidR="005F1D37" w:rsidRPr="00093C97" w:rsidRDefault="005F1D37" w:rsidP="00783ACD">
      <w:pPr>
        <w:pStyle w:val="ListBullet2"/>
        <w:widowControl w:val="0"/>
        <w:numPr>
          <w:ilvl w:val="0"/>
          <w:numId w:val="26"/>
        </w:numPr>
        <w:spacing w:after="140" w:line="300" w:lineRule="atLeast"/>
        <w:ind w:left="1281" w:hanging="357"/>
        <w:rPr>
          <w:rFonts w:ascii="Gill Sans MT" w:hAnsi="Gill Sans MT"/>
          <w:lang w:eastAsia="ja-JP"/>
        </w:rPr>
      </w:pPr>
      <w:r w:rsidRPr="00093C97">
        <w:rPr>
          <w:rFonts w:ascii="Gill Sans MT" w:hAnsi="Gill Sans MT"/>
          <w:lang w:eastAsia="ja-JP"/>
        </w:rPr>
        <w:t>Increases in alcohol-related hospitalisations for both men and women</w:t>
      </w:r>
    </w:p>
    <w:p w14:paraId="53B7B191" w14:textId="77777777" w:rsidR="005F1D37" w:rsidRPr="00093C97" w:rsidRDefault="005F1D37" w:rsidP="00783ACD">
      <w:pPr>
        <w:pStyle w:val="ListBullet2"/>
        <w:widowControl w:val="0"/>
        <w:numPr>
          <w:ilvl w:val="0"/>
          <w:numId w:val="26"/>
        </w:numPr>
        <w:spacing w:after="140" w:line="300" w:lineRule="atLeast"/>
        <w:ind w:left="1281" w:hanging="357"/>
        <w:rPr>
          <w:rFonts w:ascii="Gill Sans MT" w:hAnsi="Gill Sans MT"/>
          <w:lang w:eastAsia="ja-JP"/>
        </w:rPr>
      </w:pPr>
      <w:r w:rsidRPr="00093C97">
        <w:rPr>
          <w:rFonts w:ascii="Gill Sans MT" w:hAnsi="Gill Sans MT"/>
          <w:lang w:eastAsia="ja-JP"/>
        </w:rPr>
        <w:t>No statistically significant changes in alcohol-related Emergency Department presentations</w:t>
      </w:r>
    </w:p>
    <w:p w14:paraId="4923EF27" w14:textId="77777777" w:rsidR="005F1D37" w:rsidRPr="00093C97" w:rsidRDefault="005F1D37" w:rsidP="00783ACD">
      <w:pPr>
        <w:pStyle w:val="ListBullet2"/>
        <w:widowControl w:val="0"/>
        <w:numPr>
          <w:ilvl w:val="0"/>
          <w:numId w:val="26"/>
        </w:numPr>
        <w:spacing w:after="140" w:line="300" w:lineRule="atLeast"/>
        <w:ind w:left="1281" w:hanging="357"/>
        <w:rPr>
          <w:rFonts w:ascii="Gill Sans MT" w:hAnsi="Gill Sans MT"/>
          <w:lang w:eastAsia="ja-JP"/>
        </w:rPr>
      </w:pPr>
      <w:r w:rsidRPr="00093C97">
        <w:rPr>
          <w:rFonts w:ascii="Gill Sans MT" w:hAnsi="Gill Sans MT"/>
          <w:lang w:eastAsia="ja-JP"/>
        </w:rPr>
        <w:t>Decreases in proportion of fatalities and serious casualty road crashes involving alcohol</w:t>
      </w:r>
    </w:p>
    <w:p w14:paraId="029A7F17" w14:textId="77777777" w:rsidR="005F1D37" w:rsidRPr="00093C97" w:rsidRDefault="005F1D37" w:rsidP="00783ACD">
      <w:pPr>
        <w:pStyle w:val="ListBullet2"/>
        <w:widowControl w:val="0"/>
        <w:numPr>
          <w:ilvl w:val="0"/>
          <w:numId w:val="26"/>
        </w:numPr>
        <w:spacing w:after="140" w:line="300" w:lineRule="atLeast"/>
        <w:ind w:left="1281" w:hanging="357"/>
        <w:rPr>
          <w:rFonts w:ascii="Gill Sans MT" w:hAnsi="Gill Sans MT"/>
          <w:lang w:eastAsia="ja-JP"/>
        </w:rPr>
      </w:pPr>
      <w:r w:rsidRPr="00093C97">
        <w:rPr>
          <w:rFonts w:ascii="Gill Sans MT" w:hAnsi="Gill Sans MT"/>
          <w:lang w:eastAsia="ja-JP"/>
        </w:rPr>
        <w:t>Decrease in proportion of family violence offenders affected by alcohol</w:t>
      </w:r>
    </w:p>
    <w:p w14:paraId="7C0A599D" w14:textId="77777777" w:rsidR="005F1D37" w:rsidRPr="00093C97" w:rsidRDefault="005F1D37" w:rsidP="00783ACD">
      <w:pPr>
        <w:pStyle w:val="ListBullet2"/>
        <w:widowControl w:val="0"/>
        <w:numPr>
          <w:ilvl w:val="0"/>
          <w:numId w:val="26"/>
        </w:numPr>
        <w:spacing w:after="140" w:line="300" w:lineRule="atLeast"/>
        <w:ind w:left="1281" w:hanging="357"/>
        <w:rPr>
          <w:rFonts w:ascii="Gill Sans MT" w:hAnsi="Gill Sans MT"/>
          <w:lang w:eastAsia="ja-JP"/>
        </w:rPr>
      </w:pPr>
      <w:r w:rsidRPr="00093C97">
        <w:rPr>
          <w:rFonts w:ascii="Gill Sans MT" w:hAnsi="Gill Sans MT"/>
          <w:lang w:eastAsia="ja-JP"/>
        </w:rPr>
        <w:t>Increase in the number of liquor licen</w:t>
      </w:r>
      <w:r w:rsidR="00915F9B" w:rsidRPr="00093C97">
        <w:rPr>
          <w:rFonts w:ascii="Gill Sans MT" w:hAnsi="Gill Sans MT"/>
          <w:lang w:eastAsia="ja-JP"/>
        </w:rPr>
        <w:t>c</w:t>
      </w:r>
      <w:r w:rsidRPr="00093C97">
        <w:rPr>
          <w:rFonts w:ascii="Gill Sans MT" w:hAnsi="Gill Sans MT"/>
          <w:lang w:eastAsia="ja-JP"/>
        </w:rPr>
        <w:t>es.</w:t>
      </w:r>
    </w:p>
    <w:p w14:paraId="341CC816" w14:textId="77777777" w:rsidR="005F1D37" w:rsidRPr="00093C97" w:rsidRDefault="005F1D37" w:rsidP="00783ACD">
      <w:pPr>
        <w:pStyle w:val="ListBullet"/>
        <w:widowControl w:val="0"/>
        <w:tabs>
          <w:tab w:val="left" w:pos="1134"/>
        </w:tabs>
        <w:rPr>
          <w:szCs w:val="22"/>
        </w:rPr>
      </w:pPr>
      <w:r w:rsidRPr="00093C97">
        <w:rPr>
          <w:szCs w:val="22"/>
          <w:lang w:eastAsia="en-AU"/>
        </w:rPr>
        <w:t xml:space="preserve">However, the 2016 </w:t>
      </w:r>
      <w:r w:rsidRPr="00093C97">
        <w:rPr>
          <w:szCs w:val="22"/>
        </w:rPr>
        <w:t xml:space="preserve">Tasmanian Population Health Survey (TPHS) suggests </w:t>
      </w:r>
      <w:r w:rsidR="00107FB6" w:rsidRPr="00093C97">
        <w:rPr>
          <w:szCs w:val="22"/>
        </w:rPr>
        <w:t xml:space="preserve">there has been a </w:t>
      </w:r>
      <w:r w:rsidRPr="00093C97">
        <w:rPr>
          <w:szCs w:val="22"/>
        </w:rPr>
        <w:t xml:space="preserve">statistically significant increase in single occasion risky alcohol consumption, particularly among young males in Tasmania.    </w:t>
      </w:r>
    </w:p>
    <w:p w14:paraId="4F34BBB3" w14:textId="77777777" w:rsidR="005F1D37" w:rsidRPr="00093C97" w:rsidRDefault="005F1D37" w:rsidP="00783ACD">
      <w:pPr>
        <w:pStyle w:val="BulletedListLevel1"/>
        <w:keepLines w:val="0"/>
        <w:widowControl w:val="0"/>
        <w:numPr>
          <w:ilvl w:val="0"/>
          <w:numId w:val="0"/>
        </w:numPr>
        <w:rPr>
          <w:sz w:val="22"/>
          <w:szCs w:val="22"/>
        </w:rPr>
      </w:pPr>
      <w:r w:rsidRPr="00093C97">
        <w:rPr>
          <w:sz w:val="22"/>
          <w:szCs w:val="22"/>
        </w:rPr>
        <w:t>The Minister for Health approved an extension of the TAAF</w:t>
      </w:r>
      <w:r w:rsidR="00DD07B6" w:rsidRPr="00093C97">
        <w:rPr>
          <w:sz w:val="22"/>
          <w:szCs w:val="22"/>
        </w:rPr>
        <w:t>,</w:t>
      </w:r>
      <w:r w:rsidRPr="00093C97">
        <w:rPr>
          <w:sz w:val="22"/>
          <w:szCs w:val="22"/>
        </w:rPr>
        <w:t xml:space="preserve"> to enable the Alcohol Simulation Modelling Project (below) to be undertaken and to inform the development of a new TAAF.</w:t>
      </w:r>
    </w:p>
    <w:p w14:paraId="35119559" w14:textId="77777777" w:rsidR="006C7F59" w:rsidRPr="00093C97" w:rsidRDefault="006C7F59" w:rsidP="00783ACD">
      <w:pPr>
        <w:widowControl w:val="0"/>
        <w:spacing w:after="140" w:line="300" w:lineRule="atLeast"/>
        <w:rPr>
          <w:rStyle w:val="Hyperlink"/>
          <w:rFonts w:ascii="Gill Sans MT" w:hAnsi="Gill Sans MT"/>
          <w:b/>
          <w:i/>
          <w:color w:val="auto"/>
          <w:sz w:val="24"/>
          <w:szCs w:val="24"/>
          <w:u w:val="none"/>
        </w:rPr>
      </w:pPr>
      <w:r w:rsidRPr="00093C97">
        <w:rPr>
          <w:rStyle w:val="Hyperlink"/>
          <w:rFonts w:ascii="Gill Sans MT" w:hAnsi="Gill Sans MT"/>
          <w:b/>
          <w:i/>
          <w:color w:val="auto"/>
          <w:sz w:val="24"/>
          <w:szCs w:val="24"/>
          <w:u w:val="none"/>
        </w:rPr>
        <w:br w:type="page"/>
      </w:r>
    </w:p>
    <w:p w14:paraId="7E9B5091" w14:textId="77777777" w:rsidR="00B3687C" w:rsidRPr="00093C97" w:rsidRDefault="00B3687C" w:rsidP="00783ACD">
      <w:pPr>
        <w:pStyle w:val="Heading3"/>
        <w:keepNext w:val="0"/>
        <w:keepLines w:val="0"/>
        <w:widowControl w:val="0"/>
        <w:rPr>
          <w:rFonts w:ascii="Gill Sans MT" w:hAnsi="Gill Sans MT"/>
        </w:rPr>
      </w:pPr>
      <w:r w:rsidRPr="00093C97">
        <w:rPr>
          <w:rFonts w:ascii="Gill Sans MT" w:hAnsi="Gill Sans MT"/>
        </w:rPr>
        <w:lastRenderedPageBreak/>
        <w:t>Alcohol Simulation Modelling</w:t>
      </w:r>
    </w:p>
    <w:p w14:paraId="276ED7B1" w14:textId="77777777" w:rsidR="00624C85" w:rsidRPr="00093C97" w:rsidRDefault="00D829ED" w:rsidP="00783ACD">
      <w:pPr>
        <w:pStyle w:val="BulletedListLevel1"/>
        <w:keepLines w:val="0"/>
        <w:widowControl w:val="0"/>
        <w:numPr>
          <w:ilvl w:val="0"/>
          <w:numId w:val="0"/>
        </w:numPr>
        <w:rPr>
          <w:sz w:val="22"/>
          <w:szCs w:val="22"/>
        </w:rPr>
      </w:pPr>
      <w:r w:rsidRPr="00093C97">
        <w:rPr>
          <w:sz w:val="22"/>
          <w:szCs w:val="22"/>
        </w:rPr>
        <w:t xml:space="preserve">Dynamic simulation modelling is described as a ‘what if’ tool to test the likely impact of a range of possible solutions before implementing them.  </w:t>
      </w:r>
      <w:r w:rsidR="00440FE8" w:rsidRPr="00093C97">
        <w:rPr>
          <w:sz w:val="22"/>
          <w:szCs w:val="22"/>
        </w:rPr>
        <w:t xml:space="preserve">Simulation modelling provides a unique tool for synthesizing and leveraging existing data, evidence and expert and local knowledge to examine in a robust, risk-free and </w:t>
      </w:r>
      <w:proofErr w:type="gramStart"/>
      <w:r w:rsidR="00440FE8" w:rsidRPr="00093C97">
        <w:rPr>
          <w:sz w:val="22"/>
          <w:szCs w:val="22"/>
        </w:rPr>
        <w:t>low cost</w:t>
      </w:r>
      <w:proofErr w:type="gramEnd"/>
      <w:r w:rsidR="00440FE8" w:rsidRPr="00093C97">
        <w:rPr>
          <w:sz w:val="22"/>
          <w:szCs w:val="22"/>
        </w:rPr>
        <w:t xml:space="preserve"> way, the likely impact of different policy scenarios prior to implementation. </w:t>
      </w:r>
      <w:r w:rsidR="00624C85" w:rsidRPr="00093C97">
        <w:rPr>
          <w:sz w:val="22"/>
          <w:szCs w:val="22"/>
        </w:rPr>
        <w:t xml:space="preserve">This type of modelling has not been used in Tasmania before now.  It provides a unique opportunity for Government to use an innovative analytic ‘systems’ tool to test the potential impacts of different policy scenarios over time, before any solutions are implemented in the real world. </w:t>
      </w:r>
    </w:p>
    <w:p w14:paraId="62557572" w14:textId="77777777" w:rsidR="0044474D" w:rsidRPr="00093C97" w:rsidRDefault="0044474D" w:rsidP="00783ACD">
      <w:pPr>
        <w:widowControl w:val="0"/>
        <w:spacing w:after="140" w:line="300" w:lineRule="atLeast"/>
        <w:rPr>
          <w:rFonts w:ascii="Gill Sans MT" w:hAnsi="Gill Sans MT" w:cs="Times New Roman"/>
          <w:b/>
        </w:rPr>
      </w:pPr>
      <w:r w:rsidRPr="00093C97">
        <w:rPr>
          <w:rFonts w:ascii="Gill Sans MT" w:hAnsi="Gill Sans MT"/>
        </w:rPr>
        <w:t>DHHS through Public Health Services (PHS) has engaged in a collaborative project with The Australian Prevention Partnership Centre (TAPPC) Sax Institute of New South Wales to develop a simulation model of alcohol use in Tasmania</w:t>
      </w:r>
      <w:r w:rsidR="00107FB6" w:rsidRPr="00093C97">
        <w:rPr>
          <w:rFonts w:ascii="Gill Sans MT" w:hAnsi="Gill Sans MT"/>
        </w:rPr>
        <w:t>.  The model will</w:t>
      </w:r>
      <w:r w:rsidRPr="00093C97">
        <w:rPr>
          <w:rFonts w:ascii="Gill Sans MT" w:hAnsi="Gill Sans MT"/>
        </w:rPr>
        <w:t xml:space="preserve"> forecast the effectiveness of a variety of approaches to reducing alcohol-related </w:t>
      </w:r>
      <w:proofErr w:type="gramStart"/>
      <w:r w:rsidRPr="00093C97">
        <w:rPr>
          <w:rFonts w:ascii="Gill Sans MT" w:hAnsi="Gill Sans MT"/>
        </w:rPr>
        <w:t>harm, and</w:t>
      </w:r>
      <w:proofErr w:type="gramEnd"/>
      <w:r w:rsidRPr="00093C97">
        <w:rPr>
          <w:rFonts w:ascii="Gill Sans MT" w:hAnsi="Gill Sans MT"/>
        </w:rPr>
        <w:t xml:space="preserve"> explore what combination of interventions is likely to produce maximum community-wide impact.</w:t>
      </w:r>
      <w:r w:rsidR="00624C85" w:rsidRPr="00093C97">
        <w:rPr>
          <w:rFonts w:ascii="Gill Sans MT" w:hAnsi="Gill Sans MT"/>
        </w:rPr>
        <w:t xml:space="preserve">  </w:t>
      </w:r>
    </w:p>
    <w:p w14:paraId="03876F95" w14:textId="77777777" w:rsidR="00653BC4" w:rsidRPr="00093C97" w:rsidRDefault="00653BC4" w:rsidP="00783ACD">
      <w:pPr>
        <w:pStyle w:val="Heading3"/>
        <w:keepNext w:val="0"/>
        <w:keepLines w:val="0"/>
        <w:widowControl w:val="0"/>
        <w:rPr>
          <w:rFonts w:ascii="Gill Sans MT" w:hAnsi="Gill Sans MT"/>
          <w:lang w:eastAsia="en-AU"/>
        </w:rPr>
      </w:pPr>
      <w:r w:rsidRPr="00093C97">
        <w:rPr>
          <w:rFonts w:ascii="Gill Sans MT" w:hAnsi="Gill Sans MT"/>
          <w:lang w:eastAsia="en-AU"/>
        </w:rPr>
        <w:t>Drug and Alcohol intoxication and Subsequent Harm in night-time Entertainment Districts (DASHED)</w:t>
      </w:r>
    </w:p>
    <w:p w14:paraId="7DD06072" w14:textId="77777777" w:rsidR="001A5DDA" w:rsidRPr="00093C97" w:rsidRDefault="0044474D" w:rsidP="00783ACD">
      <w:pPr>
        <w:widowControl w:val="0"/>
        <w:spacing w:after="140" w:line="300" w:lineRule="atLeast"/>
        <w:rPr>
          <w:rFonts w:ascii="Gill Sans MT" w:hAnsi="Gill Sans MT"/>
        </w:rPr>
      </w:pPr>
      <w:r w:rsidRPr="00093C97">
        <w:rPr>
          <w:rFonts w:ascii="Gill Sans MT" w:hAnsi="Gill Sans MT"/>
        </w:rPr>
        <w:t xml:space="preserve">As part of its research agenda, the National Drug and Law Enforcement Research Fund (NDLERF) funded a partnership project involving Deakin University, the Australian </w:t>
      </w:r>
      <w:r w:rsidR="00107FB6" w:rsidRPr="00093C97">
        <w:rPr>
          <w:rFonts w:ascii="Gill Sans MT" w:hAnsi="Gill Sans MT"/>
        </w:rPr>
        <w:t xml:space="preserve">Institute of Criminology and UTas to undertake </w:t>
      </w:r>
      <w:r w:rsidRPr="00093C97">
        <w:rPr>
          <w:rFonts w:ascii="Gill Sans MT" w:hAnsi="Gill Sans MT"/>
        </w:rPr>
        <w:t xml:space="preserve">the Drug and Alcohol intoxication and Subsequent Harm in night-time Entertainment Districts (DASHED) study. </w:t>
      </w:r>
      <w:r w:rsidR="00834EBD" w:rsidRPr="00093C97">
        <w:rPr>
          <w:rFonts w:ascii="Gill Sans MT" w:hAnsi="Gill Sans MT"/>
        </w:rPr>
        <w:t xml:space="preserve"> </w:t>
      </w:r>
      <w:r w:rsidRPr="00093C97">
        <w:rPr>
          <w:rFonts w:ascii="Gill Sans MT" w:hAnsi="Gill Sans MT"/>
        </w:rPr>
        <w:t xml:space="preserve">DASHED investigated harms associated with alcohol in the night-time economy in Canberra and Hobart between April and December 2015. The study used a combination of interviews with patrons in night-time entertainment precincts, covert observations in and around licensed establishments, and examination of administrative data sources such as alcohol and substance related ambulance attendances, alcohol related presentations in emergency department, recorded alcohol-related offence data and liquor licence enforcement actions.  In Hobart the project was undertaken from 10pm to 2am (Friday and Saturday nights) outside entertainment venues, with 738 patrons participating, and almost 150 hours of structured observation in licenced venues in this time. </w:t>
      </w:r>
    </w:p>
    <w:p w14:paraId="3E10F3E5" w14:textId="77777777" w:rsidR="0044474D" w:rsidRPr="00093C97" w:rsidRDefault="0044474D" w:rsidP="00783ACD">
      <w:pPr>
        <w:widowControl w:val="0"/>
        <w:spacing w:after="140" w:line="300" w:lineRule="atLeast"/>
        <w:rPr>
          <w:rFonts w:ascii="Gill Sans MT" w:hAnsi="Gill Sans MT"/>
        </w:rPr>
      </w:pPr>
      <w:r w:rsidRPr="00093C97">
        <w:rPr>
          <w:rFonts w:ascii="Gill Sans MT" w:hAnsi="Gill Sans MT"/>
        </w:rPr>
        <w:t>The DASHED report was released in November 2016</w:t>
      </w:r>
      <w:r w:rsidR="0014741B" w:rsidRPr="00093C97">
        <w:rPr>
          <w:rStyle w:val="EndnoteReference"/>
          <w:rFonts w:ascii="Gill Sans MT" w:hAnsi="Gill Sans MT"/>
        </w:rPr>
        <w:endnoteReference w:id="1"/>
      </w:r>
      <w:r w:rsidRPr="00093C97">
        <w:rPr>
          <w:rFonts w:ascii="Gill Sans MT" w:hAnsi="Gill Sans MT"/>
        </w:rPr>
        <w:t xml:space="preserve">. </w:t>
      </w:r>
      <w:r w:rsidR="004907F0" w:rsidRPr="00093C97">
        <w:rPr>
          <w:rFonts w:ascii="Gill Sans MT" w:hAnsi="Gill Sans MT"/>
        </w:rPr>
        <w:t>Some key findings for Hobart include:</w:t>
      </w:r>
    </w:p>
    <w:p w14:paraId="2B69630C" w14:textId="77777777" w:rsidR="0044474D" w:rsidRPr="00093C97" w:rsidRDefault="0044474D" w:rsidP="00783ACD">
      <w:pPr>
        <w:pStyle w:val="ListParagraph"/>
        <w:widowControl w:val="0"/>
        <w:numPr>
          <w:ilvl w:val="0"/>
          <w:numId w:val="23"/>
        </w:numPr>
        <w:spacing w:after="140" w:line="300" w:lineRule="atLeast"/>
        <w:ind w:left="1134" w:hanging="425"/>
        <w:rPr>
          <w:rFonts w:ascii="Gill Sans MT" w:hAnsi="Gill Sans MT"/>
        </w:rPr>
      </w:pPr>
      <w:r w:rsidRPr="00093C97">
        <w:rPr>
          <w:rFonts w:ascii="Gill Sans MT" w:hAnsi="Gill Sans MT"/>
        </w:rPr>
        <w:t xml:space="preserve">Two-thirds of people interviewed consumed alcohol (pre-drinking) before attending licensed venues; this rate was equal amongst males and females but was greater among younger age groups; and </w:t>
      </w:r>
      <w:proofErr w:type="gramStart"/>
      <w:r w:rsidRPr="00093C97">
        <w:rPr>
          <w:rFonts w:ascii="Gill Sans MT" w:hAnsi="Gill Sans MT"/>
        </w:rPr>
        <w:t>typically</w:t>
      </w:r>
      <w:proofErr w:type="gramEnd"/>
      <w:r w:rsidRPr="00093C97">
        <w:rPr>
          <w:rFonts w:ascii="Gill Sans MT" w:hAnsi="Gill Sans MT"/>
        </w:rPr>
        <w:t xml:space="preserve"> an average of 4 standard drinks were consumed prior to attending venues</w:t>
      </w:r>
    </w:p>
    <w:p w14:paraId="05098872" w14:textId="77777777" w:rsidR="0044474D" w:rsidRPr="00093C97" w:rsidRDefault="0044474D" w:rsidP="00783ACD">
      <w:pPr>
        <w:pStyle w:val="ListParagraph"/>
        <w:widowControl w:val="0"/>
        <w:numPr>
          <w:ilvl w:val="0"/>
          <w:numId w:val="23"/>
        </w:numPr>
        <w:spacing w:after="140" w:line="300" w:lineRule="atLeast"/>
        <w:ind w:left="1134" w:hanging="425"/>
        <w:rPr>
          <w:rFonts w:ascii="Gill Sans MT" w:hAnsi="Gill Sans MT"/>
        </w:rPr>
      </w:pPr>
      <w:r w:rsidRPr="00093C97">
        <w:rPr>
          <w:rFonts w:ascii="Gill Sans MT" w:hAnsi="Gill Sans MT"/>
        </w:rPr>
        <w:t>Around one quarter of</w:t>
      </w:r>
      <w:r w:rsidR="00107FB6" w:rsidRPr="00093C97">
        <w:rPr>
          <w:rFonts w:ascii="Gill Sans MT" w:hAnsi="Gill Sans MT"/>
        </w:rPr>
        <w:t xml:space="preserve"> those interviewed between 10 pm</w:t>
      </w:r>
      <w:r w:rsidRPr="00093C97">
        <w:rPr>
          <w:rFonts w:ascii="Gill Sans MT" w:hAnsi="Gill Sans MT"/>
        </w:rPr>
        <w:t xml:space="preserve"> and midnight had breath alcohol levels of 0.1 or greater; and after midnight approximately one in six had such high breath alcohol readings</w:t>
      </w:r>
    </w:p>
    <w:p w14:paraId="59C44305" w14:textId="77777777" w:rsidR="0044474D" w:rsidRPr="00093C97" w:rsidRDefault="0044474D" w:rsidP="00783ACD">
      <w:pPr>
        <w:pStyle w:val="ListParagraph"/>
        <w:widowControl w:val="0"/>
        <w:numPr>
          <w:ilvl w:val="0"/>
          <w:numId w:val="23"/>
        </w:numPr>
        <w:spacing w:after="140" w:line="300" w:lineRule="atLeast"/>
        <w:ind w:left="1134" w:hanging="425"/>
        <w:rPr>
          <w:rFonts w:ascii="Gill Sans MT" w:hAnsi="Gill Sans MT"/>
        </w:rPr>
      </w:pPr>
      <w:r w:rsidRPr="00093C97">
        <w:rPr>
          <w:rFonts w:ascii="Gill Sans MT" w:hAnsi="Gill Sans MT"/>
        </w:rPr>
        <w:t>Around 1 in 10 reported using substances other than alcohol (excluding tobacco) during the night they were interviewed</w:t>
      </w:r>
    </w:p>
    <w:p w14:paraId="594C0D34" w14:textId="77777777" w:rsidR="0044474D" w:rsidRPr="00093C97" w:rsidRDefault="0044474D" w:rsidP="00783ACD">
      <w:pPr>
        <w:pStyle w:val="ListParagraph"/>
        <w:widowControl w:val="0"/>
        <w:numPr>
          <w:ilvl w:val="0"/>
          <w:numId w:val="23"/>
        </w:numPr>
        <w:spacing w:after="140" w:line="300" w:lineRule="atLeast"/>
        <w:ind w:left="1134" w:hanging="425"/>
        <w:rPr>
          <w:rFonts w:ascii="Gill Sans MT" w:hAnsi="Gill Sans MT"/>
        </w:rPr>
      </w:pPr>
      <w:r w:rsidRPr="00093C97">
        <w:rPr>
          <w:rFonts w:ascii="Gill Sans MT" w:hAnsi="Gill Sans MT"/>
        </w:rPr>
        <w:t xml:space="preserve">Half of those interviewed had experienced </w:t>
      </w:r>
      <w:proofErr w:type="gramStart"/>
      <w:r w:rsidRPr="00093C97">
        <w:rPr>
          <w:rFonts w:ascii="Gill Sans MT" w:hAnsi="Gill Sans MT"/>
        </w:rPr>
        <w:t>some kind of aggression</w:t>
      </w:r>
      <w:proofErr w:type="gramEnd"/>
      <w:r w:rsidRPr="00093C97">
        <w:rPr>
          <w:rFonts w:ascii="Gill Sans MT" w:hAnsi="Gill Sans MT"/>
        </w:rPr>
        <w:t xml:space="preserve"> around licensed venues in past three months – 33 per cent verbal aggression, 26 per cent unwanted sexual attention and 16 per cent physical aggression; but it is notable that participants had high ratings of perceived safety both in and around the venues where they were interviewed</w:t>
      </w:r>
    </w:p>
    <w:p w14:paraId="55A35D6E" w14:textId="77777777" w:rsidR="0044474D" w:rsidRPr="00093C97" w:rsidRDefault="0044474D" w:rsidP="00783ACD">
      <w:pPr>
        <w:pStyle w:val="ListParagraph"/>
        <w:widowControl w:val="0"/>
        <w:numPr>
          <w:ilvl w:val="0"/>
          <w:numId w:val="23"/>
        </w:numPr>
        <w:spacing w:after="140" w:line="300" w:lineRule="atLeast"/>
        <w:ind w:left="1134" w:hanging="425"/>
        <w:rPr>
          <w:rFonts w:ascii="Gill Sans MT" w:hAnsi="Gill Sans MT"/>
        </w:rPr>
      </w:pPr>
      <w:r w:rsidRPr="00093C97">
        <w:rPr>
          <w:rFonts w:ascii="Gill Sans MT" w:hAnsi="Gill Sans MT"/>
        </w:rPr>
        <w:t>One in twenty reported being refused service in a licenced venue in the past three months</w:t>
      </w:r>
      <w:r w:rsidR="00107FB6" w:rsidRPr="00093C97">
        <w:rPr>
          <w:rFonts w:ascii="Gill Sans MT" w:hAnsi="Gill Sans MT"/>
        </w:rPr>
        <w:t xml:space="preserve">, however, in venue observations </w:t>
      </w:r>
      <w:r w:rsidRPr="00093C97">
        <w:rPr>
          <w:rFonts w:ascii="Gill Sans MT" w:hAnsi="Gill Sans MT"/>
        </w:rPr>
        <w:t>only around 10 per ce</w:t>
      </w:r>
      <w:r w:rsidR="00107FB6" w:rsidRPr="00093C97">
        <w:rPr>
          <w:rFonts w:ascii="Gill Sans MT" w:hAnsi="Gill Sans MT"/>
        </w:rPr>
        <w:t xml:space="preserve">nt of </w:t>
      </w:r>
      <w:r w:rsidRPr="00093C97">
        <w:rPr>
          <w:rFonts w:ascii="Gill Sans MT" w:hAnsi="Gill Sans MT"/>
        </w:rPr>
        <w:t xml:space="preserve">people </w:t>
      </w:r>
      <w:r w:rsidR="00107FB6" w:rsidRPr="00093C97">
        <w:rPr>
          <w:rFonts w:ascii="Gill Sans MT" w:hAnsi="Gill Sans MT"/>
        </w:rPr>
        <w:t xml:space="preserve">who were </w:t>
      </w:r>
      <w:r w:rsidR="00107FB6" w:rsidRPr="00093C97">
        <w:rPr>
          <w:rFonts w:ascii="Gill Sans MT" w:hAnsi="Gill Sans MT"/>
        </w:rPr>
        <w:lastRenderedPageBreak/>
        <w:t xml:space="preserve">displaying clear indications of intoxication </w:t>
      </w:r>
      <w:r w:rsidRPr="00093C97">
        <w:rPr>
          <w:rFonts w:ascii="Gill Sans MT" w:hAnsi="Gill Sans MT"/>
        </w:rPr>
        <w:t>were refused service</w:t>
      </w:r>
      <w:r w:rsidR="00107FB6" w:rsidRPr="00093C97">
        <w:rPr>
          <w:rFonts w:ascii="Gill Sans MT" w:hAnsi="Gill Sans MT"/>
        </w:rPr>
        <w:t>.</w:t>
      </w:r>
    </w:p>
    <w:p w14:paraId="7744211F" w14:textId="77777777" w:rsidR="00C26CF1" w:rsidRPr="00093C97" w:rsidRDefault="00DA3FB0" w:rsidP="00783ACD">
      <w:pPr>
        <w:pStyle w:val="Heading3"/>
        <w:keepNext w:val="0"/>
        <w:keepLines w:val="0"/>
        <w:widowControl w:val="0"/>
        <w:rPr>
          <w:rFonts w:ascii="Gill Sans MT" w:hAnsi="Gill Sans MT"/>
        </w:rPr>
      </w:pPr>
      <w:r w:rsidRPr="00093C97">
        <w:rPr>
          <w:rFonts w:ascii="Gill Sans MT" w:hAnsi="Gill Sans MT"/>
        </w:rPr>
        <w:t>R</w:t>
      </w:r>
      <w:r w:rsidR="00C26CF1" w:rsidRPr="00093C97">
        <w:rPr>
          <w:rFonts w:ascii="Gill Sans MT" w:hAnsi="Gill Sans MT"/>
        </w:rPr>
        <w:t xml:space="preserve">eview of the Liquor Licensing Act 1990 </w:t>
      </w:r>
    </w:p>
    <w:p w14:paraId="0BB78C24" w14:textId="77777777" w:rsidR="00C26CF1" w:rsidRPr="00093C97" w:rsidRDefault="00C26CF1" w:rsidP="00783ACD">
      <w:pPr>
        <w:widowControl w:val="0"/>
        <w:autoSpaceDE w:val="0"/>
        <w:autoSpaceDN w:val="0"/>
        <w:adjustRightInd w:val="0"/>
        <w:spacing w:after="140" w:line="300" w:lineRule="atLeast"/>
        <w:rPr>
          <w:rFonts w:ascii="Gill Sans MT" w:hAnsi="Gill Sans MT" w:cs="Arial"/>
        </w:rPr>
      </w:pPr>
      <w:r w:rsidRPr="00093C97">
        <w:rPr>
          <w:rFonts w:ascii="Gill Sans MT" w:hAnsi="Gill Sans MT" w:cs="Arial"/>
        </w:rPr>
        <w:t xml:space="preserve">Recent changes to the </w:t>
      </w:r>
      <w:r w:rsidRPr="00093C97">
        <w:rPr>
          <w:rFonts w:ascii="Gill Sans MT" w:hAnsi="Gill Sans MT" w:cs="Arial"/>
          <w:i/>
          <w:iCs/>
        </w:rPr>
        <w:t xml:space="preserve">Liquor Licensing Act 1990 </w:t>
      </w:r>
      <w:r w:rsidRPr="00093C97">
        <w:rPr>
          <w:rFonts w:ascii="Gill Sans MT" w:hAnsi="Gill Sans MT" w:cs="Arial"/>
        </w:rPr>
        <w:t xml:space="preserve">and the associated </w:t>
      </w:r>
      <w:r w:rsidRPr="00093C97">
        <w:rPr>
          <w:rFonts w:ascii="Gill Sans MT" w:hAnsi="Gill Sans MT" w:cs="Arial"/>
          <w:i/>
          <w:iCs/>
        </w:rPr>
        <w:t>Liquor Licensing Regulations 2016, Liquor Licensing (Fees) Amendment Regulations 2016 and Liquor Licensing (Infringement Notices) Amendment Regulations</w:t>
      </w:r>
      <w:r w:rsidR="00915F9B" w:rsidRPr="00093C97">
        <w:rPr>
          <w:rFonts w:ascii="Gill Sans MT" w:hAnsi="Gill Sans MT" w:cs="Arial"/>
          <w:i/>
          <w:iCs/>
        </w:rPr>
        <w:t xml:space="preserve"> 2016</w:t>
      </w:r>
      <w:r w:rsidRPr="00093C97">
        <w:rPr>
          <w:rFonts w:ascii="Gill Sans MT" w:hAnsi="Gill Sans MT" w:cs="Arial"/>
          <w:i/>
          <w:iCs/>
        </w:rPr>
        <w:t xml:space="preserve"> </w:t>
      </w:r>
      <w:r w:rsidRPr="00093C97">
        <w:rPr>
          <w:rFonts w:ascii="Gill Sans MT" w:hAnsi="Gill Sans MT" w:cs="Arial"/>
          <w:iCs/>
        </w:rPr>
        <w:t>commenced</w:t>
      </w:r>
      <w:r w:rsidR="007C6DD1" w:rsidRPr="00093C97">
        <w:rPr>
          <w:rFonts w:ascii="Gill Sans MT" w:hAnsi="Gill Sans MT" w:cs="Arial"/>
        </w:rPr>
        <w:t xml:space="preserve"> on 1</w:t>
      </w:r>
      <w:r w:rsidRPr="00093C97">
        <w:rPr>
          <w:rFonts w:ascii="Gill Sans MT" w:hAnsi="Gill Sans MT" w:cs="Arial"/>
        </w:rPr>
        <w:t xml:space="preserve"> September 2016. </w:t>
      </w:r>
    </w:p>
    <w:p w14:paraId="1B87E785" w14:textId="77777777" w:rsidR="007C4B57" w:rsidRPr="00093C97" w:rsidRDefault="00C26CF1" w:rsidP="00783ACD">
      <w:pPr>
        <w:widowControl w:val="0"/>
        <w:spacing w:after="140" w:line="300" w:lineRule="atLeast"/>
        <w:rPr>
          <w:rFonts w:ascii="Gill Sans MT" w:hAnsi="Gill Sans MT"/>
          <w:b/>
          <w:sz w:val="28"/>
        </w:rPr>
      </w:pPr>
      <w:r w:rsidRPr="00093C97">
        <w:rPr>
          <w:rFonts w:ascii="Gill Sans MT" w:hAnsi="Gill Sans MT" w:cs="Arial"/>
        </w:rPr>
        <w:t xml:space="preserve">The </w:t>
      </w:r>
      <w:r w:rsidRPr="00093C97">
        <w:rPr>
          <w:rFonts w:ascii="Gill Sans MT" w:hAnsi="Gill Sans MT" w:cs="Arial"/>
          <w:i/>
          <w:iCs/>
        </w:rPr>
        <w:t xml:space="preserve">Guide to Tasmanian Liquor Licensing laws for licence holders </w:t>
      </w:r>
      <w:r w:rsidR="00190109" w:rsidRPr="00093C97">
        <w:rPr>
          <w:rFonts w:ascii="Gill Sans MT" w:hAnsi="Gill Sans MT" w:cs="Arial"/>
          <w:iCs/>
        </w:rPr>
        <w:t xml:space="preserve">(first issued </w:t>
      </w:r>
      <w:r w:rsidRPr="00093C97">
        <w:rPr>
          <w:rFonts w:ascii="Gill Sans MT" w:hAnsi="Gill Sans MT" w:cs="Arial"/>
        </w:rPr>
        <w:t xml:space="preserve">September </w:t>
      </w:r>
      <w:r w:rsidRPr="00093C97">
        <w:rPr>
          <w:rFonts w:ascii="Gill Sans MT" w:hAnsi="Gill Sans MT" w:cs="Arial"/>
          <w:iCs/>
        </w:rPr>
        <w:t>2016</w:t>
      </w:r>
      <w:r w:rsidR="00190109" w:rsidRPr="00093C97">
        <w:rPr>
          <w:rFonts w:ascii="Gill Sans MT" w:hAnsi="Gill Sans MT" w:cs="Arial"/>
          <w:iCs/>
        </w:rPr>
        <w:t>)</w:t>
      </w:r>
      <w:r w:rsidRPr="00093C97">
        <w:rPr>
          <w:rFonts w:ascii="Gill Sans MT" w:hAnsi="Gill Sans MT" w:cs="Arial"/>
          <w:i/>
          <w:iCs/>
        </w:rPr>
        <w:t xml:space="preserve"> </w:t>
      </w:r>
      <w:r w:rsidRPr="00093C97">
        <w:rPr>
          <w:rFonts w:ascii="Gill Sans MT" w:hAnsi="Gill Sans MT" w:cs="Arial"/>
        </w:rPr>
        <w:t>has been updated and a number of fact sheets in relation to the changes can be found on the Liquor and Gaming Branch website at:</w:t>
      </w:r>
      <w:r w:rsidR="00712646" w:rsidRPr="00093C97">
        <w:rPr>
          <w:rFonts w:ascii="Gill Sans MT" w:hAnsi="Gill Sans MT" w:cs="Arial"/>
        </w:rPr>
        <w:t xml:space="preserve"> </w:t>
      </w:r>
      <w:hyperlink r:id="rId16" w:history="1">
        <w:r w:rsidR="00712646" w:rsidRPr="00093C97">
          <w:rPr>
            <w:rStyle w:val="Hyperlink"/>
            <w:rFonts w:ascii="Gill Sans MT" w:hAnsi="Gill Sans MT" w:cs="Arial"/>
          </w:rPr>
          <w:t>www.liquorlicensing.tas.gov.au</w:t>
        </w:r>
      </w:hyperlink>
      <w:r w:rsidR="00712646" w:rsidRPr="00093C97">
        <w:rPr>
          <w:rFonts w:ascii="Gill Sans MT" w:hAnsi="Gill Sans MT" w:cs="Arial"/>
        </w:rPr>
        <w:t xml:space="preserve"> </w:t>
      </w:r>
      <w:r w:rsidRPr="00093C97">
        <w:rPr>
          <w:rFonts w:ascii="Gill Sans MT" w:hAnsi="Gill Sans MT" w:cs="Arial"/>
        </w:rPr>
        <w:t xml:space="preserve"> </w:t>
      </w:r>
    </w:p>
    <w:p w14:paraId="47C993C3" w14:textId="77777777" w:rsidR="001A3FAE" w:rsidRPr="00093C97" w:rsidRDefault="001A3FAE" w:rsidP="00783ACD">
      <w:pPr>
        <w:pStyle w:val="Heading2"/>
        <w:keepNext w:val="0"/>
        <w:keepLines w:val="0"/>
        <w:widowControl w:val="0"/>
        <w:rPr>
          <w:rFonts w:ascii="Gill Sans MT" w:hAnsi="Gill Sans MT"/>
        </w:rPr>
      </w:pPr>
      <w:r w:rsidRPr="00093C97">
        <w:rPr>
          <w:rFonts w:ascii="Gill Sans MT" w:hAnsi="Gill Sans MT"/>
        </w:rPr>
        <w:t>Tasmanian Tobacco Control Plan 2017-2021</w:t>
      </w:r>
    </w:p>
    <w:p w14:paraId="1B366D65" w14:textId="77777777" w:rsidR="001A3FAE" w:rsidRPr="00093C97" w:rsidRDefault="001A3FAE" w:rsidP="00783ACD">
      <w:pPr>
        <w:pStyle w:val="ListParagraph"/>
        <w:widowControl w:val="0"/>
        <w:spacing w:after="140" w:line="300" w:lineRule="atLeast"/>
        <w:ind w:left="0"/>
        <w:rPr>
          <w:rFonts w:ascii="Gill Sans MT" w:hAnsi="Gill Sans MT"/>
          <w:lang w:val="en-US"/>
        </w:rPr>
      </w:pPr>
      <w:r w:rsidRPr="00093C97">
        <w:rPr>
          <w:rFonts w:ascii="Gill Sans MT" w:hAnsi="Gill Sans MT"/>
          <w:lang w:val="en-US"/>
        </w:rPr>
        <w:t>The Tasmanian Tobacco Control Plan 2017-2021 was accepted by the IAWGD out of session in June 2017, prior to presentation to the Minister for Health for noting. The Plan has four priority areas; to encourage and help pe</w:t>
      </w:r>
      <w:r w:rsidR="00DE4C9F" w:rsidRPr="00093C97">
        <w:rPr>
          <w:rFonts w:ascii="Gill Sans MT" w:hAnsi="Gill Sans MT"/>
          <w:lang w:val="en-US"/>
        </w:rPr>
        <w:t>ople who smoke to quit for good;</w:t>
      </w:r>
      <w:r w:rsidRPr="00093C97">
        <w:rPr>
          <w:rFonts w:ascii="Gill Sans MT" w:hAnsi="Gill Sans MT"/>
          <w:lang w:val="en-US"/>
        </w:rPr>
        <w:t xml:space="preserve"> to prevent smoking upta</w:t>
      </w:r>
      <w:r w:rsidR="00DE4C9F" w:rsidRPr="00093C97">
        <w:rPr>
          <w:rFonts w:ascii="Gill Sans MT" w:hAnsi="Gill Sans MT"/>
          <w:lang w:val="en-US"/>
        </w:rPr>
        <w:t>ke and de-normalise tobacco use;</w:t>
      </w:r>
      <w:r w:rsidRPr="00093C97">
        <w:rPr>
          <w:rFonts w:ascii="Gill Sans MT" w:hAnsi="Gill Sans MT"/>
          <w:lang w:val="en-US"/>
        </w:rPr>
        <w:t xml:space="preserve"> to reduce smoking by high prevalence groups</w:t>
      </w:r>
      <w:r w:rsidR="00DE4C9F" w:rsidRPr="00093C97">
        <w:rPr>
          <w:rFonts w:ascii="Gill Sans MT" w:hAnsi="Gill Sans MT"/>
          <w:lang w:val="en-US"/>
        </w:rPr>
        <w:t>;</w:t>
      </w:r>
      <w:r w:rsidRPr="00093C97">
        <w:rPr>
          <w:rFonts w:ascii="Gill Sans MT" w:hAnsi="Gill Sans MT"/>
          <w:lang w:val="en-US"/>
        </w:rPr>
        <w:t xml:space="preserve"> and to strengthen and integrate the evidence base.  There are three working groups to implement the plan from 2017 onwards; these are Smoke Free Priority Populations, Smoke Free Young People and Tobacco Action Evaluation. </w:t>
      </w:r>
    </w:p>
    <w:p w14:paraId="120F6F18" w14:textId="77777777" w:rsidR="001A3FAE" w:rsidRPr="00093C97" w:rsidRDefault="001A3FAE" w:rsidP="00783ACD">
      <w:pPr>
        <w:pStyle w:val="Heading3"/>
        <w:keepNext w:val="0"/>
        <w:keepLines w:val="0"/>
        <w:widowControl w:val="0"/>
        <w:rPr>
          <w:rFonts w:ascii="Gill Sans MT" w:hAnsi="Gill Sans MT"/>
        </w:rPr>
      </w:pPr>
      <w:r w:rsidRPr="00093C97">
        <w:rPr>
          <w:rFonts w:ascii="Gill Sans MT" w:hAnsi="Gill Sans MT"/>
        </w:rPr>
        <w:t>Social Marketing  </w:t>
      </w:r>
    </w:p>
    <w:p w14:paraId="7525B66B" w14:textId="77777777" w:rsidR="001A3FAE" w:rsidRPr="00093C97" w:rsidRDefault="001A3FAE" w:rsidP="00783ACD">
      <w:pPr>
        <w:widowControl w:val="0"/>
        <w:spacing w:after="140" w:line="300" w:lineRule="atLeast"/>
        <w:rPr>
          <w:rFonts w:ascii="Gill Sans MT" w:hAnsi="Gill Sans MT"/>
        </w:rPr>
      </w:pPr>
      <w:r w:rsidRPr="00093C97">
        <w:rPr>
          <w:rFonts w:ascii="Gill Sans MT" w:hAnsi="Gill Sans MT"/>
        </w:rPr>
        <w:t xml:space="preserve">A key area of action within the Tobacco Control Plan 2017-2021 is </w:t>
      </w:r>
      <w:r w:rsidR="00107FB6" w:rsidRPr="00093C97">
        <w:rPr>
          <w:rFonts w:ascii="Gill Sans MT" w:hAnsi="Gill Sans MT"/>
        </w:rPr>
        <w:t xml:space="preserve">to </w:t>
      </w:r>
      <w:r w:rsidRPr="00093C97">
        <w:rPr>
          <w:rFonts w:ascii="Gill Sans MT" w:hAnsi="Gill Sans MT"/>
        </w:rPr>
        <w:t xml:space="preserve">help smokers quit for good. In 2017 </w:t>
      </w:r>
      <w:r w:rsidR="00107FB6" w:rsidRPr="00093C97">
        <w:rPr>
          <w:rFonts w:ascii="Gill Sans MT" w:hAnsi="Gill Sans MT"/>
        </w:rPr>
        <w:t xml:space="preserve">the Tasmanian </w:t>
      </w:r>
      <w:r w:rsidR="007F56B2" w:rsidRPr="00093C97">
        <w:rPr>
          <w:rFonts w:ascii="Gill Sans MT" w:hAnsi="Gill Sans MT"/>
        </w:rPr>
        <w:t>Government invested</w:t>
      </w:r>
      <w:r w:rsidRPr="00093C97">
        <w:rPr>
          <w:rFonts w:ascii="Gill Sans MT" w:hAnsi="Gill Sans MT"/>
        </w:rPr>
        <w:t xml:space="preserve"> additional </w:t>
      </w:r>
      <w:proofErr w:type="gramStart"/>
      <w:r w:rsidRPr="00093C97">
        <w:rPr>
          <w:rFonts w:ascii="Gill Sans MT" w:hAnsi="Gill Sans MT"/>
        </w:rPr>
        <w:t>one off</w:t>
      </w:r>
      <w:proofErr w:type="gramEnd"/>
      <w:r w:rsidRPr="00093C97">
        <w:rPr>
          <w:rFonts w:ascii="Gill Sans MT" w:hAnsi="Gill Sans MT"/>
        </w:rPr>
        <w:t xml:space="preserve"> fund</w:t>
      </w:r>
      <w:r w:rsidR="007F56B2" w:rsidRPr="00093C97">
        <w:rPr>
          <w:rFonts w:ascii="Gill Sans MT" w:hAnsi="Gill Sans MT"/>
        </w:rPr>
        <w:t>ing</w:t>
      </w:r>
      <w:r w:rsidRPr="00093C97">
        <w:rPr>
          <w:rFonts w:ascii="Gill Sans MT" w:hAnsi="Gill Sans MT"/>
        </w:rPr>
        <w:t xml:space="preserve"> of $367,400 t</w:t>
      </w:r>
      <w:r w:rsidR="007F56B2" w:rsidRPr="00093C97">
        <w:rPr>
          <w:rFonts w:ascii="Gill Sans MT" w:hAnsi="Gill Sans MT"/>
        </w:rPr>
        <w:t>o increase social marketing</w:t>
      </w:r>
      <w:r w:rsidRPr="00093C97">
        <w:rPr>
          <w:rFonts w:ascii="Gill Sans MT" w:hAnsi="Gill Sans MT"/>
        </w:rPr>
        <w:t xml:space="preserve">. This is a key area of action under </w:t>
      </w:r>
      <w:r w:rsidRPr="00093C97">
        <w:rPr>
          <w:rFonts w:ascii="Gill Sans MT" w:hAnsi="Gill Sans MT"/>
          <w:i/>
          <w:iCs/>
        </w:rPr>
        <w:t>Healthy Tasmania</w:t>
      </w:r>
      <w:r w:rsidRPr="00093C97">
        <w:rPr>
          <w:rFonts w:ascii="Gill Sans MT" w:hAnsi="Gill Sans MT"/>
        </w:rPr>
        <w:t xml:space="preserve">. </w:t>
      </w:r>
    </w:p>
    <w:p w14:paraId="42D42ABF" w14:textId="77777777" w:rsidR="0024054B" w:rsidRPr="00093C97" w:rsidRDefault="0024054B" w:rsidP="00783ACD">
      <w:pPr>
        <w:pStyle w:val="Heading3"/>
        <w:keepNext w:val="0"/>
        <w:keepLines w:val="0"/>
        <w:widowControl w:val="0"/>
        <w:rPr>
          <w:rFonts w:ascii="Gill Sans MT" w:hAnsi="Gill Sans MT"/>
        </w:rPr>
      </w:pPr>
      <w:r w:rsidRPr="00093C97">
        <w:rPr>
          <w:rFonts w:ascii="Gill Sans MT" w:hAnsi="Gill Sans MT"/>
        </w:rPr>
        <w:t xml:space="preserve">Support for women who smoke in pregnancy </w:t>
      </w:r>
    </w:p>
    <w:p w14:paraId="6078AF3C" w14:textId="77777777" w:rsidR="0024054B" w:rsidRPr="00093C97" w:rsidRDefault="0024054B" w:rsidP="00783ACD">
      <w:pPr>
        <w:widowControl w:val="0"/>
        <w:spacing w:after="140" w:line="300" w:lineRule="atLeast"/>
        <w:rPr>
          <w:rFonts w:ascii="Gill Sans MT" w:hAnsi="Gill Sans MT"/>
        </w:rPr>
      </w:pPr>
      <w:r w:rsidRPr="00093C97">
        <w:rPr>
          <w:rFonts w:ascii="Gill Sans MT" w:hAnsi="Gill Sans MT"/>
        </w:rPr>
        <w:t xml:space="preserve">As part of the Tasmanian Health Service (THS) </w:t>
      </w:r>
      <w:r w:rsidRPr="00093C97">
        <w:rPr>
          <w:rFonts w:ascii="Gill Sans MT" w:hAnsi="Gill Sans MT"/>
          <w:i/>
          <w:iCs/>
        </w:rPr>
        <w:t xml:space="preserve">Smoking Cessation Program, </w:t>
      </w:r>
      <w:r w:rsidRPr="00093C97">
        <w:rPr>
          <w:rFonts w:ascii="Gill Sans MT" w:hAnsi="Gill Sans MT"/>
          <w:iCs/>
        </w:rPr>
        <w:t xml:space="preserve">in March-April 2017 </w:t>
      </w:r>
      <w:r w:rsidRPr="00093C97">
        <w:rPr>
          <w:rFonts w:ascii="Gill Sans MT" w:hAnsi="Gill Sans MT"/>
        </w:rPr>
        <w:t>pregnant Tasmanian women had the opportunity to participate in CO breath test monitoring whilst attending the RHH for routine antenatal care visits.  181 pregnant women took part of which 25 accepted a referral to a smoking cessation service.  As a result, the THS Smoking Cessation Program was successful in obtaining a $100 000 investment from the Healthy Tasmania contingency funds to help shape services for pregnant women involving CO monitoring with pregnant women in antenatal clinics.</w:t>
      </w:r>
    </w:p>
    <w:p w14:paraId="10E78670" w14:textId="77777777" w:rsidR="001A3FAE" w:rsidRPr="00093C97" w:rsidRDefault="001A3FAE" w:rsidP="00783ACD">
      <w:pPr>
        <w:pStyle w:val="Heading3"/>
        <w:keepNext w:val="0"/>
        <w:keepLines w:val="0"/>
        <w:widowControl w:val="0"/>
        <w:rPr>
          <w:rFonts w:ascii="Gill Sans MT" w:hAnsi="Gill Sans MT"/>
        </w:rPr>
      </w:pPr>
      <w:r w:rsidRPr="00093C97">
        <w:rPr>
          <w:rFonts w:ascii="Gill Sans MT" w:hAnsi="Gill Sans MT"/>
        </w:rPr>
        <w:t xml:space="preserve">Strengthening the Public Health Act 1997 – </w:t>
      </w:r>
      <w:r w:rsidRPr="00093C97">
        <w:rPr>
          <w:rFonts w:ascii="Gill Sans MT" w:hAnsi="Gill Sans MT"/>
          <w:iCs/>
        </w:rPr>
        <w:t>A Healthy Tasmania initiative</w:t>
      </w:r>
    </w:p>
    <w:p w14:paraId="1D1D30E9" w14:textId="77777777" w:rsidR="001A3FAE" w:rsidRPr="00093C97" w:rsidRDefault="001A3FAE" w:rsidP="00783ACD">
      <w:pPr>
        <w:widowControl w:val="0"/>
        <w:spacing w:after="140" w:line="300" w:lineRule="atLeast"/>
        <w:rPr>
          <w:rFonts w:ascii="Gill Sans MT" w:hAnsi="Gill Sans MT"/>
        </w:rPr>
      </w:pPr>
      <w:r w:rsidRPr="00093C97">
        <w:rPr>
          <w:rFonts w:ascii="Gill Sans MT" w:hAnsi="Gill Sans MT"/>
        </w:rPr>
        <w:t xml:space="preserve">Following consultation in January 2017 on a regulatory impact statement, the </w:t>
      </w:r>
      <w:r w:rsidRPr="00093C97">
        <w:rPr>
          <w:rFonts w:ascii="Gill Sans MT" w:hAnsi="Gill Sans MT"/>
          <w:i/>
          <w:iCs/>
        </w:rPr>
        <w:t>Public Health (Healthy Tasmania) Bill 2017</w:t>
      </w:r>
      <w:r w:rsidRPr="00093C97">
        <w:rPr>
          <w:rFonts w:ascii="Gill Sans MT" w:hAnsi="Gill Sans MT"/>
        </w:rPr>
        <w:t xml:space="preserve"> was developed which increases penalty for the sale and supply of tobacco to a child; amends the tobacco licensing framework to permit the Director of Public Health to apply a fit and proper test and to require licensees to report sales volume data; requires a licence to sell electronic cigarettes (or personal vaporisers); and bans the display and advertising of electronic cigarettes and their use in smoke free areas.</w:t>
      </w:r>
    </w:p>
    <w:p w14:paraId="03EA134B" w14:textId="77777777" w:rsidR="001A3FAE" w:rsidRPr="00093C97" w:rsidRDefault="001A3FAE" w:rsidP="00783ACD">
      <w:pPr>
        <w:widowControl w:val="0"/>
        <w:spacing w:after="140" w:line="300" w:lineRule="atLeast"/>
        <w:rPr>
          <w:rFonts w:ascii="Gill Sans MT" w:hAnsi="Gill Sans MT"/>
        </w:rPr>
      </w:pPr>
      <w:r w:rsidRPr="00093C97">
        <w:rPr>
          <w:rFonts w:ascii="Gill Sans MT" w:hAnsi="Gill Sans MT"/>
        </w:rPr>
        <w:t xml:space="preserve">Amendments to the </w:t>
      </w:r>
      <w:r w:rsidRPr="00093C97">
        <w:rPr>
          <w:rFonts w:ascii="Gill Sans MT" w:hAnsi="Gill Sans MT"/>
          <w:i/>
          <w:iCs/>
        </w:rPr>
        <w:t>Public Health (Tobacco Seller’s Licence) Regulations 2009</w:t>
      </w:r>
      <w:r w:rsidRPr="00093C97">
        <w:rPr>
          <w:rFonts w:ascii="Gill Sans MT" w:hAnsi="Gill Sans MT"/>
        </w:rPr>
        <w:t xml:space="preserve"> came into effect from 1 January 2017 </w:t>
      </w:r>
      <w:r w:rsidR="007F56B2" w:rsidRPr="00093C97">
        <w:rPr>
          <w:rFonts w:ascii="Gill Sans MT" w:hAnsi="Gill Sans MT"/>
        </w:rPr>
        <w:t>increasing</w:t>
      </w:r>
      <w:r w:rsidRPr="00093C97">
        <w:rPr>
          <w:rFonts w:ascii="Gill Sans MT" w:hAnsi="Gill Sans MT"/>
        </w:rPr>
        <w:t xml:space="preserve"> the fee for a tobacco seller’s licence to $731.34, with </w:t>
      </w:r>
      <w:r w:rsidR="007F56B2" w:rsidRPr="00093C97">
        <w:rPr>
          <w:rFonts w:ascii="Gill Sans MT" w:hAnsi="Gill Sans MT"/>
        </w:rPr>
        <w:t xml:space="preserve">a </w:t>
      </w:r>
      <w:r w:rsidRPr="00093C97">
        <w:rPr>
          <w:rFonts w:ascii="Gill Sans MT" w:hAnsi="Gill Sans MT"/>
        </w:rPr>
        <w:t>further increase to take effect from 1 January 2018 to about $1100 per licence. The fir</w:t>
      </w:r>
      <w:r w:rsidR="00DE4C9F" w:rsidRPr="00093C97">
        <w:rPr>
          <w:rFonts w:ascii="Gill Sans MT" w:hAnsi="Gill Sans MT"/>
        </w:rPr>
        <w:t>st fee increase has led to an 8 per cent</w:t>
      </w:r>
      <w:r w:rsidRPr="00093C97">
        <w:rPr>
          <w:rFonts w:ascii="Gill Sans MT" w:hAnsi="Gill Sans MT"/>
        </w:rPr>
        <w:t xml:space="preserve"> decrease in the number of tobacco retailers in Tasmania. </w:t>
      </w:r>
      <w:r w:rsidR="007F56B2" w:rsidRPr="00093C97">
        <w:rPr>
          <w:rFonts w:ascii="Gill Sans MT" w:hAnsi="Gill Sans MT"/>
        </w:rPr>
        <w:t xml:space="preserve"> The</w:t>
      </w:r>
      <w:r w:rsidR="00DE4C9F" w:rsidRPr="00093C97">
        <w:rPr>
          <w:rFonts w:ascii="Gill Sans MT" w:hAnsi="Gill Sans MT"/>
        </w:rPr>
        <w:t xml:space="preserve"> </w:t>
      </w:r>
      <w:r w:rsidRPr="00093C97">
        <w:rPr>
          <w:rFonts w:ascii="Gill Sans MT" w:hAnsi="Gill Sans MT"/>
        </w:rPr>
        <w:t xml:space="preserve">DHHS tobacco control team was increased by 1.7FTE staff in 2017 to educate retailers on these laws. </w:t>
      </w:r>
    </w:p>
    <w:p w14:paraId="45F2E403" w14:textId="77777777" w:rsidR="00170376" w:rsidRPr="00093C97" w:rsidRDefault="00170376" w:rsidP="00783ACD">
      <w:pPr>
        <w:pStyle w:val="Heading2"/>
        <w:keepNext w:val="0"/>
        <w:keepLines w:val="0"/>
        <w:widowControl w:val="0"/>
        <w:rPr>
          <w:rFonts w:ascii="Gill Sans MT" w:hAnsi="Gill Sans MT"/>
        </w:rPr>
      </w:pPr>
      <w:r w:rsidRPr="00093C97">
        <w:rPr>
          <w:rFonts w:ascii="Gill Sans MT" w:hAnsi="Gill Sans MT"/>
        </w:rPr>
        <w:t>Medic</w:t>
      </w:r>
      <w:r w:rsidR="007210BE" w:rsidRPr="00093C97">
        <w:rPr>
          <w:rFonts w:ascii="Gill Sans MT" w:hAnsi="Gill Sans MT"/>
        </w:rPr>
        <w:t>al</w:t>
      </w:r>
      <w:r w:rsidRPr="00093C97">
        <w:rPr>
          <w:rFonts w:ascii="Gill Sans MT" w:hAnsi="Gill Sans MT"/>
        </w:rPr>
        <w:t xml:space="preserve"> Cannabis</w:t>
      </w:r>
    </w:p>
    <w:p w14:paraId="122210AC" w14:textId="77777777" w:rsidR="006E1F91" w:rsidRPr="00093C97" w:rsidRDefault="006E1F91" w:rsidP="00783ACD">
      <w:pPr>
        <w:pStyle w:val="BulletedListLevel1"/>
        <w:keepLines w:val="0"/>
        <w:widowControl w:val="0"/>
        <w:numPr>
          <w:ilvl w:val="0"/>
          <w:numId w:val="0"/>
        </w:numPr>
        <w:rPr>
          <w:sz w:val="22"/>
          <w:szCs w:val="22"/>
        </w:rPr>
      </w:pPr>
      <w:r w:rsidRPr="00093C97">
        <w:rPr>
          <w:sz w:val="22"/>
          <w:szCs w:val="22"/>
        </w:rPr>
        <w:t>Amendments</w:t>
      </w:r>
      <w:r w:rsidR="009C066A" w:rsidRPr="00093C97">
        <w:rPr>
          <w:sz w:val="22"/>
          <w:szCs w:val="22"/>
        </w:rPr>
        <w:t xml:space="preserve"> to the </w:t>
      </w:r>
      <w:r w:rsidR="009C066A" w:rsidRPr="00093C97">
        <w:rPr>
          <w:i/>
          <w:iCs/>
          <w:sz w:val="22"/>
          <w:szCs w:val="22"/>
        </w:rPr>
        <w:t xml:space="preserve">Narcotic Drugs Act 1967 </w:t>
      </w:r>
      <w:r w:rsidR="009C066A" w:rsidRPr="00093C97">
        <w:rPr>
          <w:sz w:val="22"/>
          <w:szCs w:val="22"/>
        </w:rPr>
        <w:t xml:space="preserve">implemented in </w:t>
      </w:r>
      <w:r w:rsidRPr="00093C97">
        <w:rPr>
          <w:sz w:val="22"/>
          <w:szCs w:val="22"/>
        </w:rPr>
        <w:t>2016</w:t>
      </w:r>
      <w:r w:rsidR="009C066A" w:rsidRPr="00093C97">
        <w:rPr>
          <w:sz w:val="22"/>
          <w:szCs w:val="22"/>
        </w:rPr>
        <w:t xml:space="preserve"> </w:t>
      </w:r>
      <w:r w:rsidRPr="00093C97">
        <w:rPr>
          <w:sz w:val="22"/>
          <w:szCs w:val="22"/>
        </w:rPr>
        <w:t xml:space="preserve">provide a legal basis for cultivation </w:t>
      </w:r>
      <w:r w:rsidRPr="00093C97">
        <w:rPr>
          <w:sz w:val="22"/>
          <w:szCs w:val="22"/>
        </w:rPr>
        <w:lastRenderedPageBreak/>
        <w:t>of cannabis plants and production of cannabis and cannabis resins for medical and scientific purposes, through the introduction of medic</w:t>
      </w:r>
      <w:r w:rsidR="007210BE" w:rsidRPr="00093C97">
        <w:rPr>
          <w:sz w:val="22"/>
          <w:szCs w:val="22"/>
        </w:rPr>
        <w:t>al</w:t>
      </w:r>
      <w:r w:rsidRPr="00093C97">
        <w:rPr>
          <w:sz w:val="22"/>
          <w:szCs w:val="22"/>
        </w:rPr>
        <w:t xml:space="preserve"> cannabis licences, cannabis research licences and manufacture licences (cannabis licences), </w:t>
      </w:r>
      <w:r w:rsidR="009C066A" w:rsidRPr="00093C97">
        <w:rPr>
          <w:sz w:val="22"/>
          <w:szCs w:val="22"/>
        </w:rPr>
        <w:t xml:space="preserve">in a way that is compliant with Australia’s international obligations with the </w:t>
      </w:r>
      <w:r w:rsidR="009C066A" w:rsidRPr="00093C97">
        <w:rPr>
          <w:i/>
          <w:iCs/>
          <w:sz w:val="22"/>
          <w:szCs w:val="22"/>
        </w:rPr>
        <w:t xml:space="preserve">Single Convention of Narcotic Drugs 1961 </w:t>
      </w:r>
      <w:r w:rsidR="009C066A" w:rsidRPr="00093C97">
        <w:rPr>
          <w:sz w:val="22"/>
          <w:szCs w:val="22"/>
        </w:rPr>
        <w:t>(the Single Convention).</w:t>
      </w:r>
    </w:p>
    <w:p w14:paraId="3FE65832" w14:textId="77777777" w:rsidR="00D85DA0" w:rsidRPr="00093C97" w:rsidRDefault="00D13850" w:rsidP="00783ACD">
      <w:pPr>
        <w:pStyle w:val="BulletedListLevel1"/>
        <w:keepLines w:val="0"/>
        <w:widowControl w:val="0"/>
        <w:numPr>
          <w:ilvl w:val="0"/>
          <w:numId w:val="0"/>
        </w:numPr>
        <w:rPr>
          <w:sz w:val="22"/>
          <w:szCs w:val="22"/>
        </w:rPr>
      </w:pPr>
      <w:r w:rsidRPr="00093C97">
        <w:rPr>
          <w:sz w:val="22"/>
          <w:szCs w:val="22"/>
          <w:shd w:val="clear" w:color="auto" w:fill="FFFFFF"/>
        </w:rPr>
        <w:t>The State Government</w:t>
      </w:r>
      <w:r w:rsidR="00D85DA0" w:rsidRPr="00093C97">
        <w:rPr>
          <w:sz w:val="22"/>
          <w:szCs w:val="22"/>
          <w:shd w:val="clear" w:color="auto" w:fill="FFFFFF"/>
        </w:rPr>
        <w:t xml:space="preserve"> provided $3.75 million in the 2016-17 Budget to </w:t>
      </w:r>
      <w:r w:rsidRPr="00093C97">
        <w:rPr>
          <w:sz w:val="22"/>
          <w:szCs w:val="22"/>
          <w:shd w:val="clear" w:color="auto" w:fill="FFFFFF"/>
        </w:rPr>
        <w:t>support the implementation of the</w:t>
      </w:r>
      <w:r w:rsidR="001E465A" w:rsidRPr="00093C97">
        <w:rPr>
          <w:sz w:val="22"/>
          <w:szCs w:val="22"/>
          <w:shd w:val="clear" w:color="auto" w:fill="FFFFFF"/>
        </w:rPr>
        <w:t xml:space="preserve"> Tasmanian</w:t>
      </w:r>
      <w:r w:rsidRPr="00093C97">
        <w:rPr>
          <w:sz w:val="22"/>
          <w:szCs w:val="22"/>
          <w:shd w:val="clear" w:color="auto" w:fill="FFFFFF"/>
        </w:rPr>
        <w:t xml:space="preserve"> </w:t>
      </w:r>
      <w:r w:rsidR="00D85DA0" w:rsidRPr="00093C97">
        <w:rPr>
          <w:sz w:val="22"/>
          <w:szCs w:val="22"/>
          <w:shd w:val="clear" w:color="auto" w:fill="FFFFFF"/>
        </w:rPr>
        <w:t>Controll</w:t>
      </w:r>
      <w:r w:rsidRPr="00093C97">
        <w:rPr>
          <w:sz w:val="22"/>
          <w:szCs w:val="22"/>
          <w:shd w:val="clear" w:color="auto" w:fill="FFFFFF"/>
        </w:rPr>
        <w:t>ed Access Scheme.</w:t>
      </w:r>
      <w:r w:rsidR="00D85DA0" w:rsidRPr="00093C97">
        <w:rPr>
          <w:sz w:val="22"/>
          <w:szCs w:val="22"/>
          <w:shd w:val="clear" w:color="auto" w:fill="FFFFFF"/>
        </w:rPr>
        <w:t xml:space="preserve">  </w:t>
      </w:r>
      <w:r w:rsidR="00D85DA0" w:rsidRPr="00093C97">
        <w:rPr>
          <w:sz w:val="22"/>
          <w:szCs w:val="22"/>
        </w:rPr>
        <w:t xml:space="preserve">The Controlled Access Scheme </w:t>
      </w:r>
      <w:r w:rsidRPr="00093C97">
        <w:rPr>
          <w:sz w:val="22"/>
          <w:szCs w:val="22"/>
        </w:rPr>
        <w:t xml:space="preserve">will enable the comprehensive clinical assessment of patients with severe epilepsy who may be eligible for medical cannabis, due to being non-responsive to mainstream medications. It </w:t>
      </w:r>
      <w:r w:rsidR="00D85DA0" w:rsidRPr="00093C97">
        <w:rPr>
          <w:sz w:val="22"/>
          <w:szCs w:val="22"/>
        </w:rPr>
        <w:t>will mean that patients can be prescribed with unregistered medical cannabis products by an appropriately qualified, specialist doctor.</w:t>
      </w:r>
      <w:r w:rsidRPr="00093C97">
        <w:rPr>
          <w:sz w:val="22"/>
          <w:szCs w:val="22"/>
        </w:rPr>
        <w:t xml:space="preserve"> </w:t>
      </w:r>
    </w:p>
    <w:p w14:paraId="02D25B79" w14:textId="77777777" w:rsidR="006926C1" w:rsidRPr="00093C97" w:rsidRDefault="006926C1" w:rsidP="00783ACD">
      <w:pPr>
        <w:pStyle w:val="Heading2"/>
        <w:keepNext w:val="0"/>
        <w:keepLines w:val="0"/>
        <w:widowControl w:val="0"/>
        <w:rPr>
          <w:rFonts w:ascii="Gill Sans MT" w:hAnsi="Gill Sans MT"/>
        </w:rPr>
      </w:pPr>
      <w:r w:rsidRPr="00093C97">
        <w:rPr>
          <w:rFonts w:ascii="Gill Sans MT" w:hAnsi="Gill Sans MT"/>
        </w:rPr>
        <w:t>Promotion, Prevention and Early Intervention</w:t>
      </w:r>
    </w:p>
    <w:p w14:paraId="5B0BD43F" w14:textId="77777777" w:rsidR="00EA2E36" w:rsidRPr="00093C97" w:rsidRDefault="00EA2E36" w:rsidP="00783ACD">
      <w:pPr>
        <w:pStyle w:val="Heading3"/>
        <w:keepNext w:val="0"/>
        <w:keepLines w:val="0"/>
        <w:widowControl w:val="0"/>
        <w:rPr>
          <w:rFonts w:ascii="Gill Sans MT" w:hAnsi="Gill Sans MT"/>
        </w:rPr>
      </w:pPr>
      <w:r w:rsidRPr="00093C97">
        <w:rPr>
          <w:rFonts w:ascii="Gill Sans MT" w:hAnsi="Gill Sans MT"/>
        </w:rPr>
        <w:t>Everybody’s Business</w:t>
      </w:r>
    </w:p>
    <w:p w14:paraId="6FDA63EE" w14:textId="77777777" w:rsidR="00C5778C" w:rsidRPr="00093C97" w:rsidRDefault="00C5778C" w:rsidP="00783ACD">
      <w:pPr>
        <w:widowControl w:val="0"/>
        <w:spacing w:after="140" w:line="300" w:lineRule="atLeast"/>
        <w:rPr>
          <w:rFonts w:ascii="Gill Sans MT" w:hAnsi="Gill Sans MT"/>
          <w:lang w:val="en-US"/>
        </w:rPr>
      </w:pPr>
      <w:r w:rsidRPr="00093C97">
        <w:rPr>
          <w:rFonts w:ascii="Gill Sans MT" w:hAnsi="Gill Sans MT"/>
          <w:i/>
          <w:lang w:val="en-US"/>
        </w:rPr>
        <w:t>Everybody’s Business</w:t>
      </w:r>
      <w:r w:rsidRPr="00093C97">
        <w:rPr>
          <w:rFonts w:ascii="Gill Sans MT" w:hAnsi="Gill Sans MT"/>
          <w:lang w:val="en-US"/>
        </w:rPr>
        <w:t xml:space="preserve"> was developed by the IAWGD in 2013 as the Strategic Framework for Implementing Promotion, Prevention and Early Intervention (PPEI) Approaches in averting Alcohol, Tobacco and other Drugs Use in Tasmania.  </w:t>
      </w:r>
      <w:r w:rsidRPr="00093C97">
        <w:rPr>
          <w:rFonts w:ascii="Gill Sans MT" w:hAnsi="Gill Sans MT"/>
          <w:i/>
          <w:lang w:val="en-US"/>
        </w:rPr>
        <w:t>Everybody’s Business</w:t>
      </w:r>
      <w:r w:rsidRPr="00093C97">
        <w:rPr>
          <w:rFonts w:ascii="Gill Sans MT" w:hAnsi="Gill Sans MT"/>
          <w:lang w:val="en-US"/>
        </w:rPr>
        <w:t xml:space="preserve"> strengthens the importance of health promotion, prevention of harms and early intervention in the Tasmanian context and guides the formulation and development of PPEI activities and actions.</w:t>
      </w:r>
    </w:p>
    <w:p w14:paraId="283899A6" w14:textId="77777777" w:rsidR="00C5778C" w:rsidRPr="00093C97" w:rsidRDefault="00C5778C" w:rsidP="00783ACD">
      <w:pPr>
        <w:widowControl w:val="0"/>
        <w:spacing w:after="140" w:line="300" w:lineRule="atLeast"/>
        <w:rPr>
          <w:rFonts w:ascii="Gill Sans MT" w:hAnsi="Gill Sans MT"/>
          <w:lang w:val="en-US"/>
        </w:rPr>
      </w:pPr>
      <w:r w:rsidRPr="00093C97">
        <w:rPr>
          <w:rFonts w:ascii="Gill Sans MT" w:hAnsi="Gill Sans MT"/>
          <w:lang w:val="en-US"/>
        </w:rPr>
        <w:t xml:space="preserve">The Drug Education Network (DEN) is the lead agency to support the implementation of ATOD PPEI </w:t>
      </w:r>
      <w:proofErr w:type="gramStart"/>
      <w:r w:rsidRPr="00093C97">
        <w:rPr>
          <w:rFonts w:ascii="Gill Sans MT" w:hAnsi="Gill Sans MT"/>
          <w:lang w:val="en-US"/>
        </w:rPr>
        <w:t>activities, and</w:t>
      </w:r>
      <w:proofErr w:type="gramEnd"/>
      <w:r w:rsidRPr="00093C97">
        <w:rPr>
          <w:rFonts w:ascii="Gill Sans MT" w:hAnsi="Gill Sans MT"/>
          <w:lang w:val="en-US"/>
        </w:rPr>
        <w:t xml:space="preserve"> is required to report annually to the IAWGD</w:t>
      </w:r>
      <w:r w:rsidR="00137789" w:rsidRPr="00093C97">
        <w:rPr>
          <w:rFonts w:ascii="Gill Sans MT" w:hAnsi="Gill Sans MT"/>
          <w:lang w:val="en-US"/>
        </w:rPr>
        <w:t>.</w:t>
      </w:r>
    </w:p>
    <w:p w14:paraId="1E6B3645" w14:textId="77777777" w:rsidR="0068243C" w:rsidRPr="00093C97" w:rsidRDefault="00AF0FAC" w:rsidP="00783ACD">
      <w:pPr>
        <w:widowControl w:val="0"/>
        <w:spacing w:after="140" w:line="300" w:lineRule="atLeast"/>
        <w:rPr>
          <w:rFonts w:ascii="Gill Sans MT" w:hAnsi="Gill Sans MT"/>
        </w:rPr>
      </w:pPr>
      <w:r w:rsidRPr="00093C97">
        <w:rPr>
          <w:rFonts w:ascii="Gill Sans MT" w:hAnsi="Gill Sans MT"/>
        </w:rPr>
        <w:t>During this reporting period:</w:t>
      </w:r>
    </w:p>
    <w:p w14:paraId="120DBB0D" w14:textId="77777777" w:rsidR="006B0DC3" w:rsidRPr="00093C97" w:rsidRDefault="00AF0FAC" w:rsidP="00783ACD">
      <w:pPr>
        <w:pStyle w:val="BodyTextIndent"/>
        <w:widowControl w:val="0"/>
        <w:numPr>
          <w:ilvl w:val="0"/>
          <w:numId w:val="8"/>
        </w:numPr>
        <w:spacing w:after="140" w:line="300" w:lineRule="atLeast"/>
        <w:ind w:left="714" w:hanging="357"/>
        <w:contextualSpacing/>
        <w:rPr>
          <w:rFonts w:ascii="Gill Sans MT" w:hAnsi="Gill Sans MT"/>
          <w:sz w:val="22"/>
          <w:szCs w:val="22"/>
          <w:lang w:val="en-AU"/>
        </w:rPr>
      </w:pPr>
      <w:r w:rsidRPr="00093C97">
        <w:rPr>
          <w:rFonts w:ascii="Gill Sans MT" w:hAnsi="Gill Sans MT"/>
          <w:sz w:val="22"/>
          <w:szCs w:val="22"/>
          <w:lang w:val="en-AU"/>
        </w:rPr>
        <w:t>The u</w:t>
      </w:r>
      <w:r w:rsidR="006B0DC3" w:rsidRPr="00093C97">
        <w:rPr>
          <w:rFonts w:ascii="Gill Sans MT" w:hAnsi="Gill Sans MT"/>
          <w:sz w:val="22"/>
          <w:szCs w:val="22"/>
          <w:lang w:val="en-AU"/>
        </w:rPr>
        <w:t>pdated Fetal Alcohol Spectrum Disorder (FASD) Handbook for Health Professionals was launched 7 September 2016</w:t>
      </w:r>
      <w:r w:rsidR="00712646" w:rsidRPr="00093C97">
        <w:rPr>
          <w:rFonts w:ascii="Gill Sans MT" w:hAnsi="Gill Sans MT"/>
          <w:sz w:val="22"/>
          <w:szCs w:val="22"/>
          <w:lang w:val="en-AU"/>
        </w:rPr>
        <w:t>.</w:t>
      </w:r>
      <w:r w:rsidR="006B0DC3" w:rsidRPr="00093C97">
        <w:rPr>
          <w:rFonts w:ascii="Gill Sans MT" w:hAnsi="Gill Sans MT"/>
          <w:sz w:val="22"/>
          <w:szCs w:val="22"/>
          <w:lang w:val="en-AU"/>
        </w:rPr>
        <w:t xml:space="preserve"> </w:t>
      </w:r>
    </w:p>
    <w:p w14:paraId="33CDAE3A" w14:textId="77777777" w:rsidR="00985773" w:rsidRPr="00093C97" w:rsidRDefault="006B0DC3" w:rsidP="00783ACD">
      <w:pPr>
        <w:pStyle w:val="ListParagraph"/>
        <w:widowControl w:val="0"/>
        <w:numPr>
          <w:ilvl w:val="0"/>
          <w:numId w:val="8"/>
        </w:numPr>
        <w:spacing w:after="140" w:line="300" w:lineRule="atLeast"/>
        <w:ind w:left="714" w:hanging="357"/>
        <w:rPr>
          <w:rFonts w:ascii="Gill Sans MT" w:hAnsi="Gill Sans MT"/>
        </w:rPr>
      </w:pPr>
      <w:r w:rsidRPr="00093C97">
        <w:rPr>
          <w:rFonts w:ascii="Gill Sans MT" w:hAnsi="Gill Sans MT"/>
        </w:rPr>
        <w:t xml:space="preserve">An </w:t>
      </w:r>
      <w:r w:rsidRPr="00093C97">
        <w:rPr>
          <w:rFonts w:ascii="Gill Sans MT" w:hAnsi="Gill Sans MT"/>
          <w:i/>
        </w:rPr>
        <w:t>Everybody’s Business</w:t>
      </w:r>
      <w:r w:rsidR="00AF0FAC" w:rsidRPr="00093C97">
        <w:rPr>
          <w:rFonts w:ascii="Gill Sans MT" w:hAnsi="Gill Sans MT"/>
        </w:rPr>
        <w:t xml:space="preserve"> w</w:t>
      </w:r>
      <w:r w:rsidRPr="00093C97">
        <w:rPr>
          <w:rFonts w:ascii="Gill Sans MT" w:hAnsi="Gill Sans MT"/>
        </w:rPr>
        <w:t xml:space="preserve">ebsite </w:t>
      </w:r>
      <w:r w:rsidR="008F1E37" w:rsidRPr="00093C97">
        <w:rPr>
          <w:rFonts w:ascii="Gill Sans MT" w:hAnsi="Gill Sans MT"/>
        </w:rPr>
        <w:t>was developed and laun</w:t>
      </w:r>
      <w:r w:rsidRPr="00093C97">
        <w:rPr>
          <w:rFonts w:ascii="Gill Sans MT" w:hAnsi="Gill Sans MT"/>
        </w:rPr>
        <w:t xml:space="preserve">ched </w:t>
      </w:r>
      <w:r w:rsidR="008F1E37" w:rsidRPr="00093C97">
        <w:rPr>
          <w:rFonts w:ascii="Gill Sans MT" w:hAnsi="Gill Sans MT"/>
        </w:rPr>
        <w:t>on</w:t>
      </w:r>
      <w:r w:rsidRPr="00093C97">
        <w:rPr>
          <w:rFonts w:ascii="Gill Sans MT" w:hAnsi="Gill Sans MT"/>
        </w:rPr>
        <w:t>16 November 2016</w:t>
      </w:r>
      <w:r w:rsidR="008F1E37" w:rsidRPr="00093C97">
        <w:rPr>
          <w:rFonts w:ascii="Gill Sans MT" w:hAnsi="Gill Sans MT"/>
        </w:rPr>
        <w:t>. The website provides a one-stop portal for alcohol and other drug information,</w:t>
      </w:r>
      <w:r w:rsidR="00A4592A" w:rsidRPr="00093C97">
        <w:rPr>
          <w:rFonts w:ascii="Gill Sans MT" w:hAnsi="Gill Sans MT"/>
        </w:rPr>
        <w:t xml:space="preserve"> links to resources, </w:t>
      </w:r>
      <w:r w:rsidR="008F1E37" w:rsidRPr="00093C97">
        <w:rPr>
          <w:rFonts w:ascii="Gill Sans MT" w:hAnsi="Gill Sans MT"/>
        </w:rPr>
        <w:t xml:space="preserve">screening tools and </w:t>
      </w:r>
      <w:r w:rsidR="00A4592A" w:rsidRPr="00093C97">
        <w:rPr>
          <w:rFonts w:ascii="Gill Sans MT" w:hAnsi="Gill Sans MT"/>
        </w:rPr>
        <w:t xml:space="preserve">support services and </w:t>
      </w:r>
      <w:r w:rsidR="008F1E37" w:rsidRPr="00093C97">
        <w:rPr>
          <w:rFonts w:ascii="Gill Sans MT" w:hAnsi="Gill Sans MT"/>
        </w:rPr>
        <w:t xml:space="preserve">a community </w:t>
      </w:r>
      <w:r w:rsidR="007F56B2" w:rsidRPr="00093C97">
        <w:rPr>
          <w:rFonts w:ascii="Gill Sans MT" w:hAnsi="Gill Sans MT"/>
        </w:rPr>
        <w:t>champion</w:t>
      </w:r>
      <w:r w:rsidR="00A4592A" w:rsidRPr="00093C97">
        <w:rPr>
          <w:rFonts w:ascii="Gill Sans MT" w:hAnsi="Gill Sans MT"/>
        </w:rPr>
        <w:t>s page.</w:t>
      </w:r>
    </w:p>
    <w:p w14:paraId="74A1AC00" w14:textId="77777777" w:rsidR="00985773" w:rsidRPr="00093C97" w:rsidRDefault="00985773" w:rsidP="00783ACD">
      <w:pPr>
        <w:pStyle w:val="Heading2"/>
        <w:keepNext w:val="0"/>
        <w:keepLines w:val="0"/>
        <w:widowControl w:val="0"/>
        <w:rPr>
          <w:rFonts w:ascii="Gill Sans MT" w:hAnsi="Gill Sans MT"/>
        </w:rPr>
      </w:pPr>
      <w:r w:rsidRPr="00093C97">
        <w:rPr>
          <w:rFonts w:ascii="Gill Sans MT" w:hAnsi="Gill Sans MT"/>
        </w:rPr>
        <w:t>Tasmanian Population Health Survey 2016</w:t>
      </w:r>
      <w:r w:rsidR="0014741B" w:rsidRPr="00093C97">
        <w:rPr>
          <w:rStyle w:val="EndnoteReference"/>
          <w:rFonts w:ascii="Gill Sans MT" w:hAnsi="Gill Sans MT"/>
          <w:sz w:val="28"/>
          <w:szCs w:val="28"/>
        </w:rPr>
        <w:endnoteReference w:id="2"/>
      </w:r>
    </w:p>
    <w:p w14:paraId="79508065" w14:textId="77777777" w:rsidR="004907F0" w:rsidRPr="00093C97" w:rsidRDefault="00985773" w:rsidP="00783ACD">
      <w:pPr>
        <w:widowControl w:val="0"/>
        <w:spacing w:after="140" w:line="300" w:lineRule="atLeast"/>
        <w:rPr>
          <w:rFonts w:ascii="Gill Sans MT" w:hAnsi="Gill Sans MT"/>
        </w:rPr>
      </w:pPr>
      <w:r w:rsidRPr="00093C97">
        <w:rPr>
          <w:rFonts w:ascii="Gill Sans MT" w:hAnsi="Gill Sans MT"/>
        </w:rPr>
        <w:t>The Tasmanian Population Health Survey</w:t>
      </w:r>
      <w:r w:rsidR="00A557A8" w:rsidRPr="00093C97">
        <w:rPr>
          <w:rFonts w:ascii="Gill Sans MT" w:hAnsi="Gill Sans MT"/>
        </w:rPr>
        <w:t xml:space="preserve"> was undertaken</w:t>
      </w:r>
      <w:r w:rsidRPr="00093C97">
        <w:rPr>
          <w:rFonts w:ascii="Gill Sans MT" w:hAnsi="Gill Sans MT"/>
        </w:rPr>
        <w:t xml:space="preserve"> in 2016. </w:t>
      </w:r>
      <w:r w:rsidR="00A557A8" w:rsidRPr="00093C97">
        <w:rPr>
          <w:rFonts w:ascii="Gill Sans MT" w:hAnsi="Gill Sans MT"/>
        </w:rPr>
        <w:t xml:space="preserve"> </w:t>
      </w:r>
      <w:r w:rsidR="004907F0" w:rsidRPr="00093C97">
        <w:rPr>
          <w:rFonts w:ascii="Gill Sans MT" w:hAnsi="Gill Sans MT"/>
        </w:rPr>
        <w:t>With a total of about 6,300 adult participants, data can be produced for most local areas. This telephone survey included both land-line and mobile phones to capture a greater proportion of young Tasmanian adults.  Some key findings</w:t>
      </w:r>
      <w:r w:rsidR="00E765D9" w:rsidRPr="00093C97">
        <w:rPr>
          <w:rFonts w:ascii="Gill Sans MT" w:hAnsi="Gill Sans MT"/>
        </w:rPr>
        <w:t xml:space="preserve"> </w:t>
      </w:r>
      <w:r w:rsidR="00FB3A81" w:rsidRPr="00093C97">
        <w:rPr>
          <w:rFonts w:ascii="Gill Sans MT" w:hAnsi="Gill Sans MT"/>
        </w:rPr>
        <w:t>f</w:t>
      </w:r>
      <w:r w:rsidR="00E765D9" w:rsidRPr="00093C97">
        <w:rPr>
          <w:rFonts w:ascii="Gill Sans MT" w:hAnsi="Gill Sans MT"/>
        </w:rPr>
        <w:t>or</w:t>
      </w:r>
      <w:r w:rsidR="00FB3A81" w:rsidRPr="00093C97">
        <w:rPr>
          <w:rFonts w:ascii="Gill Sans MT" w:hAnsi="Gill Sans MT"/>
        </w:rPr>
        <w:t xml:space="preserve"> tobacco and </w:t>
      </w:r>
      <w:r w:rsidR="00E765D9" w:rsidRPr="00093C97">
        <w:rPr>
          <w:rFonts w:ascii="Gill Sans MT" w:hAnsi="Gill Sans MT"/>
        </w:rPr>
        <w:t>alcohol</w:t>
      </w:r>
      <w:r w:rsidR="004907F0" w:rsidRPr="00093C97">
        <w:rPr>
          <w:rFonts w:ascii="Gill Sans MT" w:hAnsi="Gill Sans MT"/>
        </w:rPr>
        <w:t xml:space="preserve"> include:</w:t>
      </w:r>
    </w:p>
    <w:p w14:paraId="205AA166" w14:textId="77777777" w:rsidR="006C4C4E" w:rsidRPr="00093C97" w:rsidRDefault="00941A19" w:rsidP="00783ACD">
      <w:pPr>
        <w:pStyle w:val="ListParagraph"/>
        <w:widowControl w:val="0"/>
        <w:numPr>
          <w:ilvl w:val="0"/>
          <w:numId w:val="36"/>
        </w:numPr>
        <w:spacing w:after="140" w:line="300" w:lineRule="atLeast"/>
        <w:ind w:left="714" w:hanging="357"/>
        <w:contextualSpacing w:val="0"/>
        <w:rPr>
          <w:rFonts w:ascii="Gill Sans MT" w:hAnsi="Gill Sans MT"/>
        </w:rPr>
      </w:pPr>
      <w:r w:rsidRPr="00093C97">
        <w:rPr>
          <w:rFonts w:ascii="Gill Sans MT" w:hAnsi="Gill Sans MT"/>
        </w:rPr>
        <w:t xml:space="preserve">Smoking has </w:t>
      </w:r>
      <w:r w:rsidR="00FB3A81" w:rsidRPr="00093C97">
        <w:rPr>
          <w:rFonts w:ascii="Gill Sans MT" w:hAnsi="Gill Sans MT"/>
        </w:rPr>
        <w:t xml:space="preserve">significantly declined since 2009.  It has </w:t>
      </w:r>
      <w:r w:rsidRPr="00093C97">
        <w:rPr>
          <w:rFonts w:ascii="Gill Sans MT" w:hAnsi="Gill Sans MT"/>
        </w:rPr>
        <w:t>remained relatively constant since 2013, at 15.7 per cent in 2016, and difference between regions was not statistically significant.</w:t>
      </w:r>
    </w:p>
    <w:p w14:paraId="4FEE7F86" w14:textId="77777777" w:rsidR="00FB3A81" w:rsidRPr="00093C97" w:rsidRDefault="00FB3A81" w:rsidP="00783ACD">
      <w:pPr>
        <w:pStyle w:val="ListParagraph"/>
        <w:widowControl w:val="0"/>
        <w:numPr>
          <w:ilvl w:val="0"/>
          <w:numId w:val="36"/>
        </w:numPr>
        <w:spacing w:after="140" w:line="300" w:lineRule="atLeast"/>
        <w:ind w:left="714" w:hanging="357"/>
        <w:contextualSpacing w:val="0"/>
        <w:rPr>
          <w:rFonts w:ascii="Gill Sans MT" w:hAnsi="Gill Sans MT"/>
        </w:rPr>
      </w:pPr>
      <w:r w:rsidRPr="00093C97">
        <w:rPr>
          <w:rFonts w:ascii="Gill Sans MT" w:hAnsi="Gill Sans MT"/>
        </w:rPr>
        <w:t>The proportion of Tasmanian Aboriginal and Torres Strait Islanders who smoked in 2016 continues to be statistically higher at 26.3 per cent.</w:t>
      </w:r>
    </w:p>
    <w:p w14:paraId="0B9F1DBC" w14:textId="77777777" w:rsidR="00FB3A81" w:rsidRPr="00093C97" w:rsidRDefault="00FB3A81" w:rsidP="00783ACD">
      <w:pPr>
        <w:pStyle w:val="ListParagraph"/>
        <w:widowControl w:val="0"/>
        <w:numPr>
          <w:ilvl w:val="0"/>
          <w:numId w:val="36"/>
        </w:numPr>
        <w:tabs>
          <w:tab w:val="left" w:pos="3468"/>
        </w:tabs>
        <w:spacing w:after="140" w:line="300" w:lineRule="atLeast"/>
        <w:ind w:left="714" w:hanging="357"/>
        <w:contextualSpacing w:val="0"/>
        <w:rPr>
          <w:rFonts w:ascii="Gill Sans MT" w:hAnsi="Gill Sans MT"/>
        </w:rPr>
      </w:pPr>
      <w:r w:rsidRPr="00093C97">
        <w:rPr>
          <w:rFonts w:ascii="Gill Sans MT" w:hAnsi="Gill Sans MT"/>
        </w:rPr>
        <w:t>Smoking continues to be significantly more prevalent in lower socio-economic areas. Of all Tasmanians in the socio-economically most disadvantaged quintile, 24.5 per cent were current smokers in 2016, compared to 9.8 per cent of Tasmanians in the least disadvantaged quintile. The gap between the lowest and highest quintiles has grown from 8.3 per cent in 2009 to 14.7 per cent in 2016.</w:t>
      </w:r>
    </w:p>
    <w:p w14:paraId="724477E8" w14:textId="77777777" w:rsidR="00FB3A81" w:rsidRPr="00093C97" w:rsidRDefault="00FB3A81" w:rsidP="00783ACD">
      <w:pPr>
        <w:pStyle w:val="ListParagraph"/>
        <w:widowControl w:val="0"/>
        <w:numPr>
          <w:ilvl w:val="0"/>
          <w:numId w:val="36"/>
        </w:numPr>
        <w:spacing w:after="140" w:line="300" w:lineRule="atLeast"/>
        <w:ind w:left="714" w:hanging="357"/>
        <w:contextualSpacing w:val="0"/>
        <w:rPr>
          <w:rFonts w:ascii="Gill Sans MT" w:hAnsi="Gill Sans MT"/>
        </w:rPr>
      </w:pPr>
      <w:r w:rsidRPr="00093C97">
        <w:rPr>
          <w:rFonts w:ascii="Gill Sans MT" w:hAnsi="Gill Sans MT"/>
        </w:rPr>
        <w:t xml:space="preserve">In 2016, 45 per cent of all Tasmanians aged 18 years and over exceeded the National alcohol </w:t>
      </w:r>
      <w:r w:rsidRPr="00093C97">
        <w:rPr>
          <w:rFonts w:ascii="Gill Sans MT" w:hAnsi="Gill Sans MT"/>
        </w:rPr>
        <w:lastRenderedPageBreak/>
        <w:t>guidelines</w:t>
      </w:r>
      <w:r w:rsidRPr="00093C97">
        <w:rPr>
          <w:rStyle w:val="FootnoteReference"/>
          <w:rFonts w:ascii="Gill Sans MT" w:hAnsi="Gill Sans MT"/>
        </w:rPr>
        <w:footnoteReference w:id="1"/>
      </w:r>
      <w:r w:rsidRPr="00093C97">
        <w:rPr>
          <w:rFonts w:ascii="Gill Sans MT" w:hAnsi="Gill Sans MT"/>
        </w:rPr>
        <w:t xml:space="preserve"> for single occasion risk of harm, i.e. four (4) or more standard drinks on a single occasion.</w:t>
      </w:r>
    </w:p>
    <w:p w14:paraId="47B8EB7A" w14:textId="77777777" w:rsidR="00941A19" w:rsidRPr="00093C97" w:rsidRDefault="00941A19" w:rsidP="00783ACD">
      <w:pPr>
        <w:pStyle w:val="ListParagraph"/>
        <w:widowControl w:val="0"/>
        <w:numPr>
          <w:ilvl w:val="0"/>
          <w:numId w:val="36"/>
        </w:numPr>
        <w:spacing w:after="140" w:line="300" w:lineRule="atLeast"/>
        <w:ind w:left="714" w:hanging="357"/>
        <w:contextualSpacing w:val="0"/>
        <w:rPr>
          <w:rFonts w:ascii="Gill Sans MT" w:hAnsi="Gill Sans MT"/>
        </w:rPr>
      </w:pPr>
      <w:r w:rsidRPr="00093C97">
        <w:rPr>
          <w:rFonts w:ascii="Gill Sans MT" w:hAnsi="Gill Sans MT"/>
        </w:rPr>
        <w:t xml:space="preserve">Over half </w:t>
      </w:r>
      <w:r w:rsidR="003A6FC0" w:rsidRPr="00093C97">
        <w:rPr>
          <w:rFonts w:ascii="Gill Sans MT" w:hAnsi="Gill Sans MT"/>
        </w:rPr>
        <w:t xml:space="preserve">(57 per cent) </w:t>
      </w:r>
      <w:r w:rsidRPr="00093C97">
        <w:rPr>
          <w:rFonts w:ascii="Gill Sans MT" w:hAnsi="Gill Sans MT"/>
        </w:rPr>
        <w:t>of all Tasmanian males 18 years and over are at risk of harm from drinking too much on single occasions, with 32.1 per cent at risk at least once a month.</w:t>
      </w:r>
    </w:p>
    <w:p w14:paraId="1C2E8C40" w14:textId="77777777" w:rsidR="00941A19" w:rsidRPr="00093C97" w:rsidRDefault="003A6FC0" w:rsidP="00783ACD">
      <w:pPr>
        <w:pStyle w:val="ListParagraph"/>
        <w:widowControl w:val="0"/>
        <w:numPr>
          <w:ilvl w:val="0"/>
          <w:numId w:val="36"/>
        </w:numPr>
        <w:spacing w:after="140" w:line="300" w:lineRule="atLeast"/>
        <w:ind w:left="714" w:hanging="357"/>
        <w:contextualSpacing w:val="0"/>
        <w:rPr>
          <w:rFonts w:ascii="Gill Sans MT" w:hAnsi="Gill Sans MT"/>
        </w:rPr>
      </w:pPr>
      <w:r w:rsidRPr="00093C97">
        <w:rPr>
          <w:rFonts w:ascii="Gill Sans MT" w:hAnsi="Gill Sans MT"/>
        </w:rPr>
        <w:t xml:space="preserve">38.5 per cent of Tasmanian adults were at risk of lifetime harm by exceeding two standard drinks either at least weekly or monthly. </w:t>
      </w:r>
    </w:p>
    <w:p w14:paraId="40C7406D" w14:textId="77777777" w:rsidR="006926C1" w:rsidRPr="00093C97" w:rsidRDefault="006B0DC3" w:rsidP="00783ACD">
      <w:pPr>
        <w:pStyle w:val="Heading2"/>
        <w:keepNext w:val="0"/>
        <w:keepLines w:val="0"/>
        <w:widowControl w:val="0"/>
        <w:rPr>
          <w:rFonts w:ascii="Gill Sans MT" w:hAnsi="Gill Sans MT"/>
        </w:rPr>
      </w:pPr>
      <w:r w:rsidRPr="00093C97">
        <w:rPr>
          <w:rFonts w:ascii="Gill Sans MT" w:hAnsi="Gill Sans MT"/>
        </w:rPr>
        <w:t>Ministerial Drug and Alcohol Forum and National Drug Strategy Committee</w:t>
      </w:r>
      <w:r w:rsidR="00D30969" w:rsidRPr="00093C97">
        <w:rPr>
          <w:rFonts w:ascii="Gill Sans MT" w:hAnsi="Gill Sans MT"/>
        </w:rPr>
        <w:t xml:space="preserve"> (National)</w:t>
      </w:r>
    </w:p>
    <w:p w14:paraId="36FF72E2" w14:textId="77777777" w:rsidR="00637188" w:rsidRPr="00093C97" w:rsidRDefault="00637188" w:rsidP="00783ACD">
      <w:pPr>
        <w:widowControl w:val="0"/>
        <w:spacing w:after="140" w:line="300" w:lineRule="atLeast"/>
        <w:rPr>
          <w:rFonts w:ascii="Gill Sans MT" w:hAnsi="Gill Sans MT" w:cs="Arial"/>
        </w:rPr>
      </w:pPr>
      <w:r w:rsidRPr="00093C97">
        <w:rPr>
          <w:rFonts w:ascii="Gill Sans MT" w:hAnsi="Gill Sans MT" w:cs="Arial"/>
        </w:rPr>
        <w:t>The establishment of the new Ministerial Drug and Alcohol Forum (MDAF) directly addresses Recommendation 32 of the final report of the National Ice Taskforce:</w:t>
      </w:r>
    </w:p>
    <w:p w14:paraId="00E7276A" w14:textId="77777777" w:rsidR="00637188" w:rsidRPr="00093C97" w:rsidRDefault="00637188" w:rsidP="00783ACD">
      <w:pPr>
        <w:widowControl w:val="0"/>
        <w:tabs>
          <w:tab w:val="left" w:pos="426"/>
        </w:tabs>
        <w:spacing w:after="140" w:line="300" w:lineRule="atLeast"/>
        <w:ind w:left="360"/>
        <w:rPr>
          <w:rFonts w:ascii="Gill Sans MT" w:hAnsi="Gill Sans MT" w:cs="Arial"/>
        </w:rPr>
      </w:pPr>
      <w:r w:rsidRPr="00093C97">
        <w:rPr>
          <w:rFonts w:ascii="Gill Sans MT" w:hAnsi="Gill Sans MT" w:cs="Arial"/>
        </w:rPr>
        <w:t xml:space="preserve">Recommendation 32: The Commonwealth, state and territory governments should introduce a simplified governance model to support greater cohesion and coordination of law enforcement, health, education and other responses to drug misuse in Australia, with a direct line of authority to relevant Ministers responsible for contributing to a national approach. </w:t>
      </w:r>
    </w:p>
    <w:p w14:paraId="3EDFC2C8" w14:textId="77777777" w:rsidR="00637188" w:rsidRPr="00093C97" w:rsidRDefault="00637188" w:rsidP="00783ACD">
      <w:pPr>
        <w:pStyle w:val="BulletedListLevel1"/>
        <w:keepLines w:val="0"/>
        <w:widowControl w:val="0"/>
        <w:numPr>
          <w:ilvl w:val="0"/>
          <w:numId w:val="0"/>
        </w:numPr>
        <w:rPr>
          <w:i/>
          <w:sz w:val="22"/>
          <w:szCs w:val="22"/>
        </w:rPr>
      </w:pPr>
      <w:r w:rsidRPr="00093C97">
        <w:rPr>
          <w:sz w:val="22"/>
          <w:szCs w:val="22"/>
        </w:rPr>
        <w:t xml:space="preserve">The Ministers for Health and Police, Fire and Emergency Management represent Tasmania at MDAF.  A National Drug Strategy Committee (NDSC) was also established to support the MDAF.  IAWGD Chair and Deputy Chair, Michael Reynolds and Glenn Frame respectively are the Tasmanian representatives on the NDSC. </w:t>
      </w:r>
    </w:p>
    <w:p w14:paraId="2940521E" w14:textId="77777777" w:rsidR="00637188" w:rsidRPr="00093C97" w:rsidRDefault="00637188" w:rsidP="00783ACD">
      <w:pPr>
        <w:widowControl w:val="0"/>
        <w:tabs>
          <w:tab w:val="left" w:pos="0"/>
        </w:tabs>
        <w:spacing w:after="140" w:line="300" w:lineRule="atLeast"/>
        <w:rPr>
          <w:rFonts w:ascii="Gill Sans MT" w:eastAsia="Times New Roman" w:hAnsi="Gill Sans MT"/>
          <w:lang w:eastAsia="ar-SA"/>
        </w:rPr>
      </w:pPr>
      <w:r w:rsidRPr="00093C97">
        <w:rPr>
          <w:rFonts w:ascii="Gill Sans MT" w:eastAsia="Times New Roman" w:hAnsi="Gill Sans MT"/>
          <w:lang w:eastAsia="ar-SA"/>
        </w:rPr>
        <w:t xml:space="preserve">The inaugural meeting of the NDSC was held 30 November 2016. Its primary focus was on governance and administrative arrangements; the new National Drug Strategy and National Alcohol Strategy; and progress under the NIAS.  </w:t>
      </w:r>
      <w:r w:rsidRPr="00093C97">
        <w:rPr>
          <w:rFonts w:ascii="Gill Sans MT" w:hAnsi="Gill Sans MT"/>
        </w:rPr>
        <w:t xml:space="preserve">The inaugural teleconference meeting of the MDAF was held on 16 December 2016.  </w:t>
      </w:r>
      <w:r w:rsidRPr="00093C97">
        <w:rPr>
          <w:rFonts w:ascii="Gill Sans MT" w:eastAsia="Times New Roman" w:hAnsi="Gill Sans MT"/>
          <w:lang w:eastAsia="ar-SA"/>
        </w:rPr>
        <w:t xml:space="preserve">In 2016-17, the MDAF: </w:t>
      </w:r>
    </w:p>
    <w:p w14:paraId="239B1793" w14:textId="77777777" w:rsidR="00637188" w:rsidRPr="00093C97" w:rsidRDefault="00637188" w:rsidP="00783ACD">
      <w:pPr>
        <w:pStyle w:val="ListParagraph"/>
        <w:widowControl w:val="0"/>
        <w:numPr>
          <w:ilvl w:val="0"/>
          <w:numId w:val="35"/>
        </w:numPr>
        <w:tabs>
          <w:tab w:val="left" w:pos="0"/>
        </w:tabs>
        <w:spacing w:after="140" w:line="300" w:lineRule="atLeast"/>
        <w:ind w:left="714" w:hanging="357"/>
        <w:contextualSpacing w:val="0"/>
        <w:rPr>
          <w:rFonts w:ascii="Gill Sans MT" w:eastAsia="Times New Roman" w:hAnsi="Gill Sans MT"/>
          <w:lang w:eastAsia="ar-SA"/>
        </w:rPr>
      </w:pPr>
      <w:r w:rsidRPr="00093C97">
        <w:rPr>
          <w:rFonts w:ascii="Gill Sans MT" w:eastAsia="Times New Roman" w:hAnsi="Gill Sans MT"/>
          <w:lang w:eastAsia="ar-SA"/>
        </w:rPr>
        <w:t>Approved the establishment of a national 1800 number to be linked to existing state and territory alcohol and other drug telephone advice services.</w:t>
      </w:r>
    </w:p>
    <w:p w14:paraId="0FE4319B" w14:textId="77777777" w:rsidR="00637188" w:rsidRPr="00093C97" w:rsidRDefault="00637188" w:rsidP="00783ACD">
      <w:pPr>
        <w:pStyle w:val="ListParagraph"/>
        <w:widowControl w:val="0"/>
        <w:numPr>
          <w:ilvl w:val="0"/>
          <w:numId w:val="35"/>
        </w:numPr>
        <w:tabs>
          <w:tab w:val="left" w:pos="0"/>
        </w:tabs>
        <w:spacing w:after="140" w:line="300" w:lineRule="atLeast"/>
        <w:ind w:left="714" w:hanging="357"/>
        <w:contextualSpacing w:val="0"/>
        <w:rPr>
          <w:rFonts w:ascii="Gill Sans MT" w:hAnsi="Gill Sans MT"/>
        </w:rPr>
      </w:pPr>
      <w:r w:rsidRPr="00093C97">
        <w:rPr>
          <w:rFonts w:ascii="Gill Sans MT" w:hAnsi="Gill Sans MT"/>
        </w:rPr>
        <w:t>Approved the development of a National Quality Framework to include a set of quality standards that will apply to all alcohol and other drug treatment providers in Australia.</w:t>
      </w:r>
    </w:p>
    <w:p w14:paraId="404FBA8F" w14:textId="77777777" w:rsidR="00637188" w:rsidRPr="00093C97" w:rsidRDefault="00637188" w:rsidP="00783ACD">
      <w:pPr>
        <w:pStyle w:val="ListParagraph"/>
        <w:widowControl w:val="0"/>
        <w:numPr>
          <w:ilvl w:val="0"/>
          <w:numId w:val="35"/>
        </w:numPr>
        <w:tabs>
          <w:tab w:val="left" w:pos="0"/>
        </w:tabs>
        <w:spacing w:after="140" w:line="300" w:lineRule="atLeast"/>
        <w:ind w:left="714" w:hanging="357"/>
        <w:contextualSpacing w:val="0"/>
        <w:rPr>
          <w:rFonts w:ascii="Gill Sans MT" w:eastAsia="Times New Roman" w:hAnsi="Gill Sans MT"/>
          <w:lang w:eastAsia="ar-SA"/>
        </w:rPr>
      </w:pPr>
      <w:r w:rsidRPr="00093C97">
        <w:rPr>
          <w:rFonts w:ascii="Gill Sans MT" w:eastAsia="Times New Roman" w:hAnsi="Gill Sans MT"/>
          <w:lang w:eastAsia="ar-SA"/>
        </w:rPr>
        <w:t>Endorsed the National Drug Strategy 2017-2026, noting it would be updated with data from the 2016 National Drug Strategy Household Survey prior to printing and distribution.</w:t>
      </w:r>
    </w:p>
    <w:p w14:paraId="4DB4E314" w14:textId="77777777" w:rsidR="00637188" w:rsidRPr="00093C97" w:rsidRDefault="00637188" w:rsidP="00783ACD">
      <w:pPr>
        <w:pStyle w:val="ListParagraph"/>
        <w:widowControl w:val="0"/>
        <w:numPr>
          <w:ilvl w:val="0"/>
          <w:numId w:val="35"/>
        </w:numPr>
        <w:tabs>
          <w:tab w:val="left" w:pos="0"/>
        </w:tabs>
        <w:spacing w:after="140" w:line="300" w:lineRule="atLeast"/>
        <w:ind w:left="714" w:hanging="357"/>
        <w:contextualSpacing w:val="0"/>
        <w:rPr>
          <w:rFonts w:ascii="Gill Sans MT" w:eastAsia="Times New Roman" w:hAnsi="Gill Sans MT"/>
          <w:lang w:eastAsia="ar-SA"/>
        </w:rPr>
      </w:pPr>
      <w:r w:rsidRPr="00093C97">
        <w:rPr>
          <w:rFonts w:ascii="Gill Sans MT" w:eastAsia="Times New Roman" w:hAnsi="Gill Sans MT"/>
          <w:lang w:eastAsia="ar-SA"/>
        </w:rPr>
        <w:t>Approved progression of the development of the National Alcohol Strategy.</w:t>
      </w:r>
    </w:p>
    <w:p w14:paraId="2F785C05" w14:textId="77777777" w:rsidR="006926C1" w:rsidRPr="00093C97" w:rsidRDefault="006926C1" w:rsidP="00783ACD">
      <w:pPr>
        <w:pStyle w:val="Heading2"/>
        <w:keepNext w:val="0"/>
        <w:keepLines w:val="0"/>
        <w:widowControl w:val="0"/>
        <w:rPr>
          <w:rFonts w:ascii="Gill Sans MT" w:hAnsi="Gill Sans MT"/>
        </w:rPr>
      </w:pPr>
      <w:r w:rsidRPr="00093C97">
        <w:rPr>
          <w:rFonts w:ascii="Gill Sans MT" w:hAnsi="Gill Sans MT"/>
        </w:rPr>
        <w:t>IAWGD Overview</w:t>
      </w:r>
    </w:p>
    <w:p w14:paraId="376EF8EB" w14:textId="77777777" w:rsidR="006926C1" w:rsidRPr="00093C97" w:rsidRDefault="006926C1" w:rsidP="00783ACD">
      <w:pPr>
        <w:pStyle w:val="Heading3"/>
        <w:keepNext w:val="0"/>
        <w:keepLines w:val="0"/>
        <w:widowControl w:val="0"/>
        <w:rPr>
          <w:rFonts w:ascii="Gill Sans MT" w:hAnsi="Gill Sans MT"/>
          <w:i/>
        </w:rPr>
      </w:pPr>
      <w:r w:rsidRPr="00093C97">
        <w:rPr>
          <w:rFonts w:ascii="Gill Sans MT" w:hAnsi="Gill Sans MT"/>
        </w:rPr>
        <w:t>Background</w:t>
      </w:r>
    </w:p>
    <w:p w14:paraId="375025B0" w14:textId="77777777" w:rsidR="006926C1" w:rsidRPr="00093C97" w:rsidRDefault="006926C1" w:rsidP="00783ACD">
      <w:pPr>
        <w:widowControl w:val="0"/>
        <w:spacing w:after="140" w:line="300" w:lineRule="atLeast"/>
        <w:rPr>
          <w:rFonts w:ascii="Gill Sans MT" w:hAnsi="Gill Sans MT"/>
          <w:lang w:val="en-US"/>
        </w:rPr>
      </w:pPr>
      <w:r w:rsidRPr="00093C97">
        <w:rPr>
          <w:rFonts w:ascii="Gill Sans MT" w:hAnsi="Gill Sans MT"/>
          <w:lang w:val="en-US"/>
        </w:rPr>
        <w:t>The IAWGD was established in 2008 to provide strategic, high level advice to the Tasmanian Government on emerging drug-related issues</w:t>
      </w:r>
      <w:r w:rsidR="007F56B2" w:rsidRPr="00093C97">
        <w:rPr>
          <w:rFonts w:ascii="Gill Sans MT" w:hAnsi="Gill Sans MT"/>
          <w:lang w:val="en-US"/>
        </w:rPr>
        <w:t>,</w:t>
      </w:r>
      <w:r w:rsidRPr="00093C97">
        <w:rPr>
          <w:rFonts w:ascii="Gill Sans MT" w:hAnsi="Gill Sans MT"/>
          <w:lang w:val="en-US"/>
        </w:rPr>
        <w:t xml:space="preserve"> and to coordinate strategic policy and service delivery responses that recognises the harms related to the use of alcohol, tobacco and other drugs requires an integrated whole-of-government approach with links to other strategies and Tasmanian policy objectives.   </w:t>
      </w:r>
    </w:p>
    <w:p w14:paraId="18C2B45F" w14:textId="77777777" w:rsidR="006926C1" w:rsidRPr="00093C97" w:rsidRDefault="006926C1" w:rsidP="00783ACD">
      <w:pPr>
        <w:widowControl w:val="0"/>
        <w:spacing w:after="140" w:line="300" w:lineRule="atLeast"/>
        <w:rPr>
          <w:rFonts w:ascii="Gill Sans MT" w:hAnsi="Gill Sans MT"/>
          <w:lang w:val="en-US"/>
        </w:rPr>
      </w:pPr>
      <w:r w:rsidRPr="00093C97">
        <w:rPr>
          <w:rFonts w:ascii="Gill Sans MT" w:hAnsi="Gill Sans MT"/>
          <w:lang w:val="en-US"/>
        </w:rPr>
        <w:t xml:space="preserve">Since the mid 1980’s, the National Drug Strategy (NDS) strategic policy framework has informed the development, implementation and monitoring of drugs policies across different levels of government, </w:t>
      </w:r>
      <w:r w:rsidRPr="00093C97">
        <w:rPr>
          <w:rFonts w:ascii="Gill Sans MT" w:hAnsi="Gill Sans MT"/>
          <w:lang w:val="en-US"/>
        </w:rPr>
        <w:lastRenderedPageBreak/>
        <w:t xml:space="preserve">and among government, non-government and private organisations and the community.  The NDS enables collaboration, among health, law enforcement and education, and promotes the use of evidence to inform drug policy and practices.  The Tasmanian Drug Strategic framework was developed to focus on issues specific to Tasmania.  </w:t>
      </w:r>
    </w:p>
    <w:p w14:paraId="008E556A" w14:textId="77777777" w:rsidR="006926C1" w:rsidRPr="00093C97" w:rsidRDefault="006926C1" w:rsidP="00783ACD">
      <w:pPr>
        <w:pStyle w:val="Heading3"/>
        <w:keepNext w:val="0"/>
        <w:keepLines w:val="0"/>
        <w:widowControl w:val="0"/>
        <w:rPr>
          <w:rFonts w:ascii="Gill Sans MT" w:hAnsi="Gill Sans MT"/>
          <w:i/>
        </w:rPr>
      </w:pPr>
      <w:r w:rsidRPr="00093C97">
        <w:rPr>
          <w:rFonts w:ascii="Gill Sans MT" w:hAnsi="Gill Sans MT"/>
        </w:rPr>
        <w:t>Purpose of the IAWGD</w:t>
      </w:r>
    </w:p>
    <w:p w14:paraId="6F6F801F" w14:textId="77777777" w:rsidR="006926C1" w:rsidRPr="00093C97" w:rsidRDefault="006926C1" w:rsidP="00783ACD">
      <w:pPr>
        <w:widowControl w:val="0"/>
        <w:spacing w:after="140" w:line="300" w:lineRule="atLeast"/>
        <w:rPr>
          <w:rFonts w:ascii="Gill Sans MT" w:hAnsi="Gill Sans MT"/>
          <w:lang w:val="en-US"/>
        </w:rPr>
      </w:pPr>
      <w:r w:rsidRPr="00093C97">
        <w:rPr>
          <w:rFonts w:ascii="Gill Sans MT" w:hAnsi="Gill Sans MT"/>
          <w:lang w:val="en-US"/>
        </w:rPr>
        <w:t xml:space="preserve">The IAWGD is the principal advisory body to the Tasmanian Government on alcohol, tobacco and other drugs related issues.  It is responsible for monitoring drug use trends and harms in Tasmania, and for implementing, monitoring, progressing and reporting on progress of the NDS and the Tasmanian Drug Strategy (TDS) and related strategic policy responses to the use of alcohol, tobacco and other drugs in the Tasmanian community. </w:t>
      </w:r>
    </w:p>
    <w:p w14:paraId="23932372" w14:textId="77777777" w:rsidR="006926C1" w:rsidRPr="00093C97" w:rsidRDefault="006926C1" w:rsidP="00783ACD">
      <w:pPr>
        <w:widowControl w:val="0"/>
        <w:spacing w:after="140" w:line="300" w:lineRule="atLeast"/>
        <w:rPr>
          <w:rFonts w:ascii="Gill Sans MT" w:hAnsi="Gill Sans MT"/>
          <w:lang w:val="en-US"/>
        </w:rPr>
      </w:pPr>
      <w:r w:rsidRPr="00093C97">
        <w:rPr>
          <w:rFonts w:ascii="Gill Sans MT" w:hAnsi="Gill Sans MT"/>
          <w:lang w:val="en-US"/>
        </w:rPr>
        <w:t xml:space="preserve">The work of the IAWGD is supported by an advisory structure specific to alcohol, tobacco and illicit drugs respectively, and by liaison with specialist treatment and service delivery. </w:t>
      </w:r>
    </w:p>
    <w:p w14:paraId="5EC386EE" w14:textId="77777777" w:rsidR="006926C1" w:rsidRPr="00093C97" w:rsidRDefault="006926C1" w:rsidP="00783ACD">
      <w:pPr>
        <w:widowControl w:val="0"/>
        <w:spacing w:after="140" w:line="300" w:lineRule="atLeast"/>
        <w:rPr>
          <w:rFonts w:ascii="Gill Sans MT" w:hAnsi="Gill Sans MT" w:cs="Arial"/>
        </w:rPr>
      </w:pPr>
      <w:r w:rsidRPr="00093C97">
        <w:rPr>
          <w:rFonts w:ascii="Gill Sans MT" w:hAnsi="Gill Sans MT"/>
          <w:lang w:val="en-US"/>
        </w:rPr>
        <w:t>In early 2015, the IAWGD was tasked by Cabinet to lead implementation of Tasmania’s response to the use of crystal methamphetamine and to work alongside the DPAC t</w:t>
      </w:r>
      <w:r w:rsidRPr="00093C97">
        <w:rPr>
          <w:rFonts w:ascii="Gill Sans MT" w:hAnsi="Gill Sans MT" w:cs="Arial"/>
        </w:rPr>
        <w:t xml:space="preserve">o progress Tasmania’s involvement in the National Taskforce to assist the development of the </w:t>
      </w:r>
      <w:r w:rsidR="007F56B2" w:rsidRPr="00093C97">
        <w:rPr>
          <w:rFonts w:ascii="Gill Sans MT" w:hAnsi="Gill Sans MT" w:cs="Arial"/>
        </w:rPr>
        <w:t>NIAS</w:t>
      </w:r>
      <w:r w:rsidRPr="00093C97">
        <w:rPr>
          <w:rFonts w:ascii="Gill Sans MT" w:hAnsi="Gill Sans MT" w:cs="Arial"/>
        </w:rPr>
        <w:t>.</w:t>
      </w:r>
    </w:p>
    <w:p w14:paraId="0E1C5359" w14:textId="77777777" w:rsidR="006926C1" w:rsidRPr="00093C97" w:rsidRDefault="006926C1" w:rsidP="00783ACD">
      <w:pPr>
        <w:pStyle w:val="Heading3"/>
        <w:keepNext w:val="0"/>
        <w:keepLines w:val="0"/>
        <w:widowControl w:val="0"/>
        <w:rPr>
          <w:rFonts w:ascii="Gill Sans MT" w:hAnsi="Gill Sans MT"/>
        </w:rPr>
      </w:pPr>
      <w:r w:rsidRPr="00093C97">
        <w:rPr>
          <w:rFonts w:ascii="Gill Sans MT" w:hAnsi="Gill Sans MT"/>
        </w:rPr>
        <w:t>Membership</w:t>
      </w:r>
    </w:p>
    <w:p w14:paraId="6FB62C9C" w14:textId="77777777" w:rsidR="006926C1" w:rsidRPr="00093C97" w:rsidRDefault="006926C1" w:rsidP="00783ACD">
      <w:pPr>
        <w:widowControl w:val="0"/>
        <w:spacing w:after="140" w:line="300" w:lineRule="atLeast"/>
        <w:rPr>
          <w:rFonts w:ascii="Gill Sans MT" w:hAnsi="Gill Sans MT"/>
          <w:lang w:val="en-US"/>
        </w:rPr>
      </w:pPr>
      <w:r w:rsidRPr="00093C97">
        <w:rPr>
          <w:rFonts w:ascii="Gill Sans MT" w:hAnsi="Gill Sans MT"/>
          <w:lang w:val="en-US"/>
        </w:rPr>
        <w:t>The Group comprises a Chair (Deputy Secretary, Corporate, P</w:t>
      </w:r>
      <w:r w:rsidR="00545CB5" w:rsidRPr="00093C97">
        <w:rPr>
          <w:rFonts w:ascii="Gill Sans MT" w:hAnsi="Gill Sans MT"/>
          <w:lang w:val="en-US"/>
        </w:rPr>
        <w:t xml:space="preserve">olicy and Regulatory Services, </w:t>
      </w:r>
      <w:r w:rsidRPr="00093C97">
        <w:rPr>
          <w:rFonts w:ascii="Gill Sans MT" w:hAnsi="Gill Sans MT"/>
          <w:lang w:val="en-US"/>
        </w:rPr>
        <w:t xml:space="preserve">Department of Health and Human Services), Deputy Chair </w:t>
      </w:r>
      <w:r w:rsidR="00545CB5" w:rsidRPr="00093C97">
        <w:rPr>
          <w:rFonts w:ascii="Gill Sans MT" w:hAnsi="Gill Sans MT"/>
          <w:lang w:val="en-US"/>
        </w:rPr>
        <w:t xml:space="preserve">(now endorsed as the Assistant Commissioner, Operations, Department of Police, Fire and Emergency Management) </w:t>
      </w:r>
      <w:r w:rsidRPr="00093C97">
        <w:rPr>
          <w:rFonts w:ascii="Gill Sans MT" w:hAnsi="Gill Sans MT"/>
          <w:lang w:val="en-US"/>
        </w:rPr>
        <w:t>and senior representatives from the Departmen</w:t>
      </w:r>
      <w:r w:rsidR="00ED28D7" w:rsidRPr="00093C97">
        <w:rPr>
          <w:rFonts w:ascii="Gill Sans MT" w:hAnsi="Gill Sans MT"/>
          <w:lang w:val="en-US"/>
        </w:rPr>
        <w:t>ts of Health and Human Services;</w:t>
      </w:r>
      <w:r w:rsidRPr="00093C97">
        <w:rPr>
          <w:rFonts w:ascii="Gill Sans MT" w:hAnsi="Gill Sans MT"/>
          <w:lang w:val="en-US"/>
        </w:rPr>
        <w:t xml:space="preserve"> Police</w:t>
      </w:r>
      <w:r w:rsidR="00D46295" w:rsidRPr="00093C97">
        <w:rPr>
          <w:rFonts w:ascii="Gill Sans MT" w:hAnsi="Gill Sans MT"/>
          <w:lang w:val="en-US"/>
        </w:rPr>
        <w:t>, Fire</w:t>
      </w:r>
      <w:r w:rsidR="00ED28D7" w:rsidRPr="00093C97">
        <w:rPr>
          <w:rFonts w:ascii="Gill Sans MT" w:hAnsi="Gill Sans MT"/>
          <w:lang w:val="en-US"/>
        </w:rPr>
        <w:t xml:space="preserve"> and Emergency Management; </w:t>
      </w:r>
      <w:r w:rsidRPr="00093C97">
        <w:rPr>
          <w:rFonts w:ascii="Gill Sans MT" w:hAnsi="Gill Sans MT"/>
          <w:lang w:val="en-US"/>
        </w:rPr>
        <w:t>Treasury and Finan</w:t>
      </w:r>
      <w:r w:rsidR="00ED28D7" w:rsidRPr="00093C97">
        <w:rPr>
          <w:rFonts w:ascii="Gill Sans MT" w:hAnsi="Gill Sans MT"/>
          <w:lang w:val="en-US"/>
        </w:rPr>
        <w:t>ce (Commissioner for Licensing); Education;</w:t>
      </w:r>
      <w:r w:rsidRPr="00093C97">
        <w:rPr>
          <w:rFonts w:ascii="Gill Sans MT" w:hAnsi="Gill Sans MT"/>
          <w:lang w:val="en-US"/>
        </w:rPr>
        <w:t xml:space="preserve"> Justice</w:t>
      </w:r>
      <w:r w:rsidR="00ED28D7" w:rsidRPr="00093C97">
        <w:rPr>
          <w:rFonts w:ascii="Gill Sans MT" w:hAnsi="Gill Sans MT"/>
          <w:lang w:val="en-US"/>
        </w:rPr>
        <w:t>;</w:t>
      </w:r>
      <w:r w:rsidRPr="00093C97">
        <w:rPr>
          <w:rFonts w:ascii="Gill Sans MT" w:hAnsi="Gill Sans MT"/>
          <w:lang w:val="en-US"/>
        </w:rPr>
        <w:t xml:space="preserve"> and Premier and Cabinet.  </w:t>
      </w:r>
    </w:p>
    <w:p w14:paraId="3ADA4E1D" w14:textId="77777777" w:rsidR="006926C1" w:rsidRPr="00093C97" w:rsidRDefault="006926C1" w:rsidP="00783ACD">
      <w:pPr>
        <w:widowControl w:val="0"/>
        <w:spacing w:after="140" w:line="300" w:lineRule="atLeast"/>
        <w:rPr>
          <w:rFonts w:ascii="Gill Sans MT" w:hAnsi="Gill Sans MT"/>
          <w:lang w:val="en-US"/>
        </w:rPr>
      </w:pPr>
      <w:r w:rsidRPr="00093C97">
        <w:rPr>
          <w:rFonts w:ascii="Gill Sans MT" w:hAnsi="Gill Sans MT"/>
          <w:lang w:val="en-US"/>
        </w:rPr>
        <w:t>The Alcohol, Tobacco and Other Drugs Council, Tasmania (ATDC) represents the alcohol, tobacco and other drugs sector and the Local Government Association of Tasmania currently has observer status.</w:t>
      </w:r>
    </w:p>
    <w:p w14:paraId="63F388AC" w14:textId="77777777" w:rsidR="006926C1" w:rsidRPr="00093C97" w:rsidRDefault="006926C1" w:rsidP="00783ACD">
      <w:pPr>
        <w:pStyle w:val="Heading3"/>
        <w:keepNext w:val="0"/>
        <w:keepLines w:val="0"/>
        <w:widowControl w:val="0"/>
        <w:rPr>
          <w:rFonts w:ascii="Gill Sans MT" w:hAnsi="Gill Sans MT"/>
        </w:rPr>
      </w:pPr>
      <w:r w:rsidRPr="00093C97">
        <w:rPr>
          <w:rFonts w:ascii="Gill Sans MT" w:hAnsi="Gill Sans MT"/>
        </w:rPr>
        <w:t>IAWGD Role and Function</w:t>
      </w:r>
    </w:p>
    <w:p w14:paraId="10CF1C08" w14:textId="77777777" w:rsidR="006926C1" w:rsidRPr="00093C97" w:rsidRDefault="006926C1" w:rsidP="00783ACD">
      <w:pPr>
        <w:widowControl w:val="0"/>
        <w:spacing w:after="140" w:line="300" w:lineRule="atLeast"/>
        <w:rPr>
          <w:rFonts w:ascii="Gill Sans MT" w:hAnsi="Gill Sans MT"/>
          <w:lang w:val="en-US"/>
        </w:rPr>
      </w:pPr>
      <w:r w:rsidRPr="00093C97">
        <w:rPr>
          <w:rFonts w:ascii="Gill Sans MT" w:hAnsi="Gill Sans MT"/>
          <w:lang w:val="en-US"/>
        </w:rPr>
        <w:t>The role and function of the IAWGD is to:</w:t>
      </w:r>
    </w:p>
    <w:p w14:paraId="747327CF" w14:textId="77777777" w:rsidR="006926C1" w:rsidRPr="00093C97" w:rsidRDefault="006926C1" w:rsidP="00783ACD">
      <w:pPr>
        <w:pStyle w:val="ListParagraph"/>
        <w:widowControl w:val="0"/>
        <w:numPr>
          <w:ilvl w:val="0"/>
          <w:numId w:val="1"/>
        </w:numPr>
        <w:spacing w:after="140" w:line="300" w:lineRule="atLeast"/>
        <w:ind w:left="567" w:hanging="567"/>
        <w:rPr>
          <w:rFonts w:ascii="Gill Sans MT" w:hAnsi="Gill Sans MT"/>
          <w:lang w:val="en-US"/>
        </w:rPr>
      </w:pPr>
      <w:r w:rsidRPr="00093C97">
        <w:rPr>
          <w:rFonts w:ascii="Gill Sans MT" w:hAnsi="Gill Sans MT"/>
          <w:lang w:val="en-US"/>
        </w:rPr>
        <w:t>Oversee the development, implementation, monitoring and coordination of strategic policy and whole-of-government responses to reduce the harms from the use of alcohol, tobacco and other drugs in Tasmania;</w:t>
      </w:r>
    </w:p>
    <w:p w14:paraId="00CB264A" w14:textId="77777777" w:rsidR="006926C1" w:rsidRPr="00093C97" w:rsidRDefault="006926C1" w:rsidP="00783ACD">
      <w:pPr>
        <w:pStyle w:val="ListParagraph"/>
        <w:widowControl w:val="0"/>
        <w:numPr>
          <w:ilvl w:val="0"/>
          <w:numId w:val="1"/>
        </w:numPr>
        <w:spacing w:after="140" w:line="300" w:lineRule="atLeast"/>
        <w:ind w:left="567" w:hanging="567"/>
        <w:rPr>
          <w:rFonts w:ascii="Gill Sans MT" w:hAnsi="Gill Sans MT"/>
          <w:lang w:val="en-US"/>
        </w:rPr>
      </w:pPr>
      <w:r w:rsidRPr="00093C97">
        <w:rPr>
          <w:rFonts w:ascii="Gill Sans MT" w:hAnsi="Gill Sans MT"/>
          <w:lang w:val="en-US"/>
        </w:rPr>
        <w:t>Monitor changes in prevalence, levels and patterns of alcohol, tobacco and other drugs use in Tasmania;</w:t>
      </w:r>
    </w:p>
    <w:p w14:paraId="0C88A28D" w14:textId="77777777" w:rsidR="006926C1" w:rsidRPr="00093C97" w:rsidRDefault="006926C1" w:rsidP="00783ACD">
      <w:pPr>
        <w:pStyle w:val="ListParagraph"/>
        <w:widowControl w:val="0"/>
        <w:numPr>
          <w:ilvl w:val="0"/>
          <w:numId w:val="1"/>
        </w:numPr>
        <w:spacing w:after="140" w:line="300" w:lineRule="atLeast"/>
        <w:ind w:left="567" w:hanging="567"/>
        <w:rPr>
          <w:rFonts w:ascii="Gill Sans MT" w:hAnsi="Gill Sans MT"/>
          <w:lang w:val="en-US"/>
        </w:rPr>
      </w:pPr>
      <w:r w:rsidRPr="00093C97">
        <w:rPr>
          <w:rFonts w:ascii="Gill Sans MT" w:hAnsi="Gill Sans MT"/>
          <w:lang w:val="en-US"/>
        </w:rPr>
        <w:t>Consider the implications of the NDS and other national policy or reform initiatives; making recommendations regarding the adoption and/or implementation in the Tasmanian context; and overseeing the implementation and reporting of national drug strategic plans and related initiatives;</w:t>
      </w:r>
    </w:p>
    <w:p w14:paraId="70D0C181" w14:textId="77777777" w:rsidR="006926C1" w:rsidRPr="00093C97" w:rsidRDefault="006926C1" w:rsidP="00783ACD">
      <w:pPr>
        <w:pStyle w:val="ListParagraph"/>
        <w:widowControl w:val="0"/>
        <w:numPr>
          <w:ilvl w:val="0"/>
          <w:numId w:val="1"/>
        </w:numPr>
        <w:spacing w:after="140" w:line="300" w:lineRule="atLeast"/>
        <w:ind w:left="567" w:hanging="567"/>
        <w:rPr>
          <w:rFonts w:ascii="Gill Sans MT" w:hAnsi="Gill Sans MT"/>
          <w:lang w:val="en-US"/>
        </w:rPr>
      </w:pPr>
      <w:r w:rsidRPr="00093C97">
        <w:rPr>
          <w:rFonts w:ascii="Gill Sans MT" w:hAnsi="Gill Sans MT"/>
          <w:lang w:val="en-US"/>
        </w:rPr>
        <w:t xml:space="preserve">Provide advice and input to other national and state strategies and initiatives where alcohol, tobacco and other drugs are identified as issues of concern, with </w:t>
      </w:r>
      <w:proofErr w:type="gramStart"/>
      <w:r w:rsidRPr="00093C97">
        <w:rPr>
          <w:rFonts w:ascii="Gill Sans MT" w:hAnsi="Gill Sans MT"/>
          <w:lang w:val="en-US"/>
        </w:rPr>
        <w:t>particular emphasis</w:t>
      </w:r>
      <w:proofErr w:type="gramEnd"/>
      <w:r w:rsidRPr="00093C97">
        <w:rPr>
          <w:rFonts w:ascii="Gill Sans MT" w:hAnsi="Gill Sans MT"/>
          <w:lang w:val="en-US"/>
        </w:rPr>
        <w:t xml:space="preserve"> on prevention and the social and health determinants associated with drug use; </w:t>
      </w:r>
    </w:p>
    <w:p w14:paraId="139C65BE" w14:textId="77777777" w:rsidR="006926C1" w:rsidRPr="00093C97" w:rsidRDefault="006926C1" w:rsidP="00783ACD">
      <w:pPr>
        <w:pStyle w:val="ListParagraph"/>
        <w:widowControl w:val="0"/>
        <w:numPr>
          <w:ilvl w:val="0"/>
          <w:numId w:val="1"/>
        </w:numPr>
        <w:spacing w:after="140" w:line="300" w:lineRule="atLeast"/>
        <w:ind w:left="567" w:hanging="567"/>
        <w:rPr>
          <w:rFonts w:ascii="Gill Sans MT" w:hAnsi="Gill Sans MT"/>
          <w:lang w:val="en-US"/>
        </w:rPr>
      </w:pPr>
      <w:r w:rsidRPr="00093C97">
        <w:rPr>
          <w:rFonts w:ascii="Gill Sans MT" w:hAnsi="Gill Sans MT"/>
          <w:lang w:val="en-US"/>
        </w:rPr>
        <w:t>Consult, liaise and collaborate with a range of key stakeholders and representative groups, service providers and other agencies/organisations as appropriate.</w:t>
      </w:r>
    </w:p>
    <w:p w14:paraId="71F7ED3B" w14:textId="77777777" w:rsidR="006926C1" w:rsidRPr="00093C97" w:rsidRDefault="006926C1" w:rsidP="00783ACD">
      <w:pPr>
        <w:pStyle w:val="Heading3"/>
        <w:keepNext w:val="0"/>
        <w:keepLines w:val="0"/>
        <w:widowControl w:val="0"/>
        <w:rPr>
          <w:rFonts w:ascii="Gill Sans MT" w:hAnsi="Gill Sans MT"/>
        </w:rPr>
      </w:pPr>
      <w:r w:rsidRPr="00093C97">
        <w:rPr>
          <w:rFonts w:ascii="Gill Sans MT" w:hAnsi="Gill Sans MT"/>
        </w:rPr>
        <w:t>Reporting</w:t>
      </w:r>
    </w:p>
    <w:p w14:paraId="4F54EE03" w14:textId="77777777" w:rsidR="006926C1" w:rsidRPr="00093C97" w:rsidRDefault="006926C1" w:rsidP="00783ACD">
      <w:pPr>
        <w:widowControl w:val="0"/>
        <w:spacing w:after="140" w:line="300" w:lineRule="atLeast"/>
        <w:rPr>
          <w:rFonts w:ascii="Gill Sans MT" w:hAnsi="Gill Sans MT"/>
          <w:lang w:val="en-US"/>
        </w:rPr>
      </w:pPr>
      <w:r w:rsidRPr="00093C97">
        <w:rPr>
          <w:rFonts w:ascii="Gill Sans MT" w:hAnsi="Gill Sans MT"/>
          <w:lang w:val="en-US"/>
        </w:rPr>
        <w:t>The IAWGD may make recommendati</w:t>
      </w:r>
      <w:r w:rsidR="003301F7" w:rsidRPr="00093C97">
        <w:rPr>
          <w:rFonts w:ascii="Gill Sans MT" w:hAnsi="Gill Sans MT"/>
          <w:lang w:val="en-US"/>
        </w:rPr>
        <w:t>ons to the Minister for Health.</w:t>
      </w:r>
    </w:p>
    <w:p w14:paraId="083BD36B" w14:textId="77777777" w:rsidR="006926C1" w:rsidRPr="00093C97" w:rsidRDefault="006926C1" w:rsidP="00783ACD">
      <w:pPr>
        <w:widowControl w:val="0"/>
        <w:spacing w:after="140" w:line="300" w:lineRule="atLeast"/>
        <w:rPr>
          <w:rFonts w:ascii="Gill Sans MT" w:hAnsi="Gill Sans MT"/>
          <w:lang w:val="en-US"/>
        </w:rPr>
      </w:pPr>
      <w:r w:rsidRPr="00093C97">
        <w:rPr>
          <w:rFonts w:ascii="Gill Sans MT" w:hAnsi="Gill Sans MT"/>
          <w:lang w:val="en-US"/>
        </w:rPr>
        <w:lastRenderedPageBreak/>
        <w:t>The Group is required to provide annual reports on its activities and progress to the Minister as required</w:t>
      </w:r>
      <w:r w:rsidR="00545CB5" w:rsidRPr="00093C97">
        <w:rPr>
          <w:rFonts w:ascii="Gill Sans MT" w:hAnsi="Gill Sans MT"/>
          <w:lang w:val="en-US"/>
        </w:rPr>
        <w:t xml:space="preserve"> under</w:t>
      </w:r>
      <w:r w:rsidRPr="00093C97">
        <w:rPr>
          <w:rFonts w:ascii="Gill Sans MT" w:hAnsi="Gill Sans MT"/>
          <w:lang w:val="en-US"/>
        </w:rPr>
        <w:t xml:space="preserve"> its Terms of Reference and to raise whole-of-government alcohol, tobacco and other drugs issues through the Minister to Cabinet.</w:t>
      </w:r>
    </w:p>
    <w:p w14:paraId="7A2A59AE" w14:textId="77777777" w:rsidR="006926C1" w:rsidRPr="00093C97" w:rsidRDefault="006926C1" w:rsidP="00783ACD">
      <w:pPr>
        <w:pStyle w:val="Heading3"/>
        <w:keepNext w:val="0"/>
        <w:keepLines w:val="0"/>
        <w:widowControl w:val="0"/>
        <w:rPr>
          <w:rFonts w:ascii="Gill Sans MT" w:hAnsi="Gill Sans MT"/>
        </w:rPr>
      </w:pPr>
      <w:r w:rsidRPr="00093C97">
        <w:rPr>
          <w:rFonts w:ascii="Gill Sans MT" w:hAnsi="Gill Sans MT"/>
        </w:rPr>
        <w:t>IAWGD Meeting Protocols</w:t>
      </w:r>
    </w:p>
    <w:p w14:paraId="45BF4FB0" w14:textId="77777777" w:rsidR="006926C1" w:rsidRPr="00093C97" w:rsidRDefault="006926C1" w:rsidP="00783ACD">
      <w:pPr>
        <w:widowControl w:val="0"/>
        <w:spacing w:after="140" w:line="300" w:lineRule="atLeast"/>
        <w:rPr>
          <w:rFonts w:ascii="Gill Sans MT" w:hAnsi="Gill Sans MT"/>
          <w:lang w:val="en-US"/>
        </w:rPr>
      </w:pPr>
      <w:r w:rsidRPr="00093C97">
        <w:rPr>
          <w:rFonts w:ascii="Gill Sans MT" w:hAnsi="Gill Sans MT"/>
          <w:lang w:val="en-US"/>
        </w:rPr>
        <w:t xml:space="preserve">The IAWGD meets a minimum of three (3) times annually and where possible meetings are scheduled to coincide with associated national forums such as the </w:t>
      </w:r>
      <w:r w:rsidR="00545CB5" w:rsidRPr="00093C97">
        <w:rPr>
          <w:rFonts w:ascii="Gill Sans MT" w:hAnsi="Gill Sans MT"/>
          <w:lang w:val="en-US"/>
        </w:rPr>
        <w:t>meetings of the National Drug Strategy Committee and the Ministerial Drug and Alcohol Forum</w:t>
      </w:r>
      <w:r w:rsidRPr="00093C97">
        <w:rPr>
          <w:rFonts w:ascii="Gill Sans MT" w:hAnsi="Gill Sans MT"/>
          <w:lang w:val="en-US"/>
        </w:rPr>
        <w:t xml:space="preserve">. </w:t>
      </w:r>
    </w:p>
    <w:p w14:paraId="5760E6EE" w14:textId="77777777" w:rsidR="006926C1" w:rsidRPr="00093C97" w:rsidRDefault="003301F7" w:rsidP="00783ACD">
      <w:pPr>
        <w:widowControl w:val="0"/>
        <w:spacing w:after="140" w:line="300" w:lineRule="atLeast"/>
        <w:rPr>
          <w:rFonts w:ascii="Gill Sans MT" w:hAnsi="Gill Sans MT"/>
          <w:bCs/>
          <w:lang w:val="en-US"/>
        </w:rPr>
      </w:pPr>
      <w:r w:rsidRPr="00093C97">
        <w:rPr>
          <w:rFonts w:ascii="Gill Sans MT" w:hAnsi="Gill Sans MT"/>
          <w:lang w:val="en-US"/>
        </w:rPr>
        <w:t>In the 201</w:t>
      </w:r>
      <w:r w:rsidR="00207486" w:rsidRPr="00093C97">
        <w:rPr>
          <w:rFonts w:ascii="Gill Sans MT" w:hAnsi="Gill Sans MT"/>
          <w:lang w:val="en-US"/>
        </w:rPr>
        <w:t xml:space="preserve">6-2017 </w:t>
      </w:r>
      <w:r w:rsidR="006926C1" w:rsidRPr="00093C97">
        <w:rPr>
          <w:rFonts w:ascii="Gill Sans MT" w:hAnsi="Gill Sans MT"/>
          <w:lang w:val="en-US"/>
        </w:rPr>
        <w:t xml:space="preserve">reporting period, </w:t>
      </w:r>
      <w:r w:rsidR="00545CB5" w:rsidRPr="00093C97">
        <w:rPr>
          <w:rFonts w:ascii="Gill Sans MT" w:hAnsi="Gill Sans MT"/>
          <w:lang w:val="en-US"/>
        </w:rPr>
        <w:t>four (4)</w:t>
      </w:r>
      <w:r w:rsidR="00207486" w:rsidRPr="00093C97">
        <w:rPr>
          <w:rFonts w:ascii="Gill Sans MT" w:hAnsi="Gill Sans MT"/>
          <w:lang w:val="en-US"/>
        </w:rPr>
        <w:t xml:space="preserve"> meetings were held, which included an extraordinary meeting on 23 November</w:t>
      </w:r>
      <w:r w:rsidR="00626E73" w:rsidRPr="00093C97">
        <w:rPr>
          <w:rFonts w:ascii="Gill Sans MT" w:hAnsi="Gill Sans MT"/>
          <w:lang w:val="en-US"/>
        </w:rPr>
        <w:t xml:space="preserve"> 2016 to discuss three specific projects</w:t>
      </w:r>
      <w:r w:rsidR="00207486" w:rsidRPr="00093C97">
        <w:rPr>
          <w:rFonts w:ascii="Gill Sans MT" w:hAnsi="Gill Sans MT"/>
          <w:lang w:val="en-US"/>
        </w:rPr>
        <w:t>.</w:t>
      </w:r>
      <w:r w:rsidR="00825DAE" w:rsidRPr="00093C97">
        <w:rPr>
          <w:rFonts w:ascii="Gill Sans MT" w:hAnsi="Gill Sans MT"/>
          <w:lang w:val="en-US"/>
        </w:rPr>
        <w:t xml:space="preserve">  Other business was managed out of session.</w:t>
      </w:r>
    </w:p>
    <w:p w14:paraId="3B882A0E" w14:textId="77777777" w:rsidR="006926C1" w:rsidRPr="00093C97" w:rsidRDefault="006926C1" w:rsidP="00783ACD">
      <w:pPr>
        <w:widowControl w:val="0"/>
        <w:spacing w:after="140" w:line="300" w:lineRule="atLeast"/>
        <w:rPr>
          <w:rFonts w:ascii="Gill Sans MT" w:hAnsi="Gill Sans MT"/>
          <w:bCs/>
          <w:lang w:val="en-US"/>
        </w:rPr>
      </w:pPr>
      <w:r w:rsidRPr="00093C97">
        <w:rPr>
          <w:rFonts w:ascii="Gill Sans MT" w:hAnsi="Gill Sans MT"/>
          <w:bCs/>
          <w:lang w:val="en-US"/>
        </w:rPr>
        <w:t xml:space="preserve">The following table outlines the IAWGD meetings </w:t>
      </w:r>
      <w:r w:rsidR="002D610F" w:rsidRPr="00093C97">
        <w:rPr>
          <w:rFonts w:ascii="Gill Sans MT" w:hAnsi="Gill Sans MT"/>
          <w:bCs/>
          <w:lang w:val="en-US"/>
        </w:rPr>
        <w:t xml:space="preserve">held and attendees for </w:t>
      </w:r>
      <w:r w:rsidR="00207486" w:rsidRPr="00093C97">
        <w:rPr>
          <w:rFonts w:ascii="Gill Sans MT" w:hAnsi="Gill Sans MT"/>
          <w:bCs/>
          <w:lang w:val="en-US"/>
        </w:rPr>
        <w:t>2016-2017</w:t>
      </w:r>
      <w:r w:rsidRPr="00093C97">
        <w:rPr>
          <w:rFonts w:ascii="Gill Sans MT" w:hAnsi="Gill Sans MT"/>
          <w:bCs/>
          <w:lang w:val="en-US"/>
        </w:rPr>
        <w:t>:</w:t>
      </w:r>
    </w:p>
    <w:tbl>
      <w:tblPr>
        <w:tblStyle w:val="TableGrid"/>
        <w:tblW w:w="5000" w:type="pct"/>
        <w:tblCellMar>
          <w:top w:w="57" w:type="dxa"/>
          <w:bottom w:w="57" w:type="dxa"/>
        </w:tblCellMar>
        <w:tblLook w:val="04A0" w:firstRow="1" w:lastRow="0" w:firstColumn="1" w:lastColumn="0" w:noHBand="0" w:noVBand="1"/>
      </w:tblPr>
      <w:tblGrid>
        <w:gridCol w:w="2631"/>
        <w:gridCol w:w="1807"/>
        <w:gridCol w:w="906"/>
        <w:gridCol w:w="985"/>
        <w:gridCol w:w="906"/>
        <w:gridCol w:w="906"/>
        <w:gridCol w:w="897"/>
      </w:tblGrid>
      <w:tr w:rsidR="00093C97" w:rsidRPr="00093C97" w14:paraId="19A95294" w14:textId="77777777" w:rsidTr="00093C97">
        <w:trPr>
          <w:trHeight w:val="696"/>
          <w:tblHeader/>
        </w:trPr>
        <w:tc>
          <w:tcPr>
            <w:tcW w:w="1456" w:type="pct"/>
            <w:shd w:val="clear" w:color="auto" w:fill="D9D9D9" w:themeFill="background1" w:themeFillShade="D9"/>
            <w:vAlign w:val="center"/>
          </w:tcPr>
          <w:p w14:paraId="71C21CA5" w14:textId="77777777" w:rsidR="00093C97" w:rsidRPr="00093C97" w:rsidRDefault="00093C97" w:rsidP="00783ACD">
            <w:pPr>
              <w:widowControl w:val="0"/>
              <w:rPr>
                <w:rFonts w:ascii="Gill Sans MT" w:hAnsi="Gill Sans MT"/>
                <w:b/>
                <w:bCs/>
                <w:sz w:val="20"/>
                <w:szCs w:val="20"/>
                <w:lang w:val="en-US"/>
              </w:rPr>
            </w:pPr>
            <w:proofErr w:type="spellStart"/>
            <w:r w:rsidRPr="00093C97">
              <w:rPr>
                <w:rFonts w:ascii="Gill Sans MT" w:hAnsi="Gill Sans MT"/>
                <w:b/>
                <w:bCs/>
                <w:sz w:val="20"/>
                <w:szCs w:val="20"/>
                <w:lang w:val="en-US"/>
              </w:rPr>
              <w:t>Organisation</w:t>
            </w:r>
            <w:proofErr w:type="spellEnd"/>
          </w:p>
        </w:tc>
        <w:tc>
          <w:tcPr>
            <w:tcW w:w="1000" w:type="pct"/>
            <w:shd w:val="clear" w:color="auto" w:fill="D9D9D9" w:themeFill="background1" w:themeFillShade="D9"/>
          </w:tcPr>
          <w:p w14:paraId="3ED1E3AC" w14:textId="6E79FF05" w:rsidR="00093C97" w:rsidRPr="00093C97" w:rsidRDefault="00093C97" w:rsidP="00783ACD">
            <w:pPr>
              <w:widowControl w:val="0"/>
              <w:rPr>
                <w:rFonts w:ascii="Gill Sans MT" w:hAnsi="Gill Sans MT"/>
                <w:b/>
                <w:bCs/>
                <w:sz w:val="20"/>
                <w:szCs w:val="20"/>
                <w:lang w:val="en-US"/>
              </w:rPr>
            </w:pPr>
            <w:r w:rsidRPr="00093C97">
              <w:rPr>
                <w:rFonts w:ascii="Gill Sans MT" w:hAnsi="Gill Sans MT"/>
                <w:b/>
                <w:bCs/>
                <w:sz w:val="20"/>
                <w:szCs w:val="20"/>
                <w:lang w:val="en-US"/>
              </w:rPr>
              <w:t>Rep(s)</w:t>
            </w:r>
          </w:p>
        </w:tc>
        <w:tc>
          <w:tcPr>
            <w:tcW w:w="501" w:type="pct"/>
            <w:shd w:val="clear" w:color="auto" w:fill="D9D9D9" w:themeFill="background1" w:themeFillShade="D9"/>
          </w:tcPr>
          <w:p w14:paraId="15180F89" w14:textId="77777777" w:rsidR="00093C97" w:rsidRPr="00093C97" w:rsidRDefault="00093C97" w:rsidP="00783ACD">
            <w:pPr>
              <w:widowControl w:val="0"/>
              <w:rPr>
                <w:rFonts w:ascii="Gill Sans MT" w:hAnsi="Gill Sans MT"/>
                <w:b/>
                <w:bCs/>
                <w:sz w:val="20"/>
                <w:szCs w:val="20"/>
                <w:lang w:val="en-US"/>
              </w:rPr>
            </w:pPr>
            <w:r w:rsidRPr="00093C97">
              <w:rPr>
                <w:rFonts w:ascii="Gill Sans MT" w:hAnsi="Gill Sans MT"/>
                <w:b/>
                <w:bCs/>
                <w:sz w:val="20"/>
                <w:szCs w:val="20"/>
                <w:lang w:val="en-US"/>
              </w:rPr>
              <w:t>7 Oct 2016</w:t>
            </w:r>
          </w:p>
        </w:tc>
        <w:tc>
          <w:tcPr>
            <w:tcW w:w="545" w:type="pct"/>
            <w:shd w:val="clear" w:color="auto" w:fill="D9D9D9" w:themeFill="background1" w:themeFillShade="D9"/>
          </w:tcPr>
          <w:p w14:paraId="5718AA46" w14:textId="77777777" w:rsidR="00093C97" w:rsidRPr="00093C97" w:rsidRDefault="00093C97" w:rsidP="00783ACD">
            <w:pPr>
              <w:widowControl w:val="0"/>
              <w:rPr>
                <w:rFonts w:ascii="Gill Sans MT" w:hAnsi="Gill Sans MT"/>
                <w:b/>
                <w:bCs/>
                <w:sz w:val="20"/>
                <w:szCs w:val="20"/>
                <w:lang w:val="en-US"/>
              </w:rPr>
            </w:pPr>
            <w:r w:rsidRPr="00093C97">
              <w:rPr>
                <w:rFonts w:ascii="Gill Sans MT" w:hAnsi="Gill Sans MT"/>
                <w:b/>
                <w:bCs/>
                <w:sz w:val="20"/>
                <w:szCs w:val="20"/>
                <w:lang w:val="en-US"/>
              </w:rPr>
              <w:t>23 Nov 2016</w:t>
            </w:r>
          </w:p>
        </w:tc>
        <w:tc>
          <w:tcPr>
            <w:tcW w:w="501" w:type="pct"/>
            <w:shd w:val="clear" w:color="auto" w:fill="D9D9D9" w:themeFill="background1" w:themeFillShade="D9"/>
          </w:tcPr>
          <w:p w14:paraId="68491F69" w14:textId="77777777" w:rsidR="00093C97" w:rsidRPr="00093C97" w:rsidRDefault="00093C97" w:rsidP="00783ACD">
            <w:pPr>
              <w:widowControl w:val="0"/>
              <w:rPr>
                <w:rFonts w:ascii="Gill Sans MT" w:hAnsi="Gill Sans MT"/>
                <w:b/>
                <w:bCs/>
                <w:sz w:val="20"/>
                <w:szCs w:val="20"/>
                <w:lang w:val="en-US"/>
              </w:rPr>
            </w:pPr>
            <w:r w:rsidRPr="00093C97">
              <w:rPr>
                <w:rFonts w:ascii="Gill Sans MT" w:hAnsi="Gill Sans MT"/>
                <w:b/>
                <w:bCs/>
                <w:sz w:val="20"/>
                <w:szCs w:val="20"/>
                <w:lang w:val="en-US"/>
              </w:rPr>
              <w:t>16 March 2017</w:t>
            </w:r>
          </w:p>
        </w:tc>
        <w:tc>
          <w:tcPr>
            <w:tcW w:w="501" w:type="pct"/>
            <w:shd w:val="clear" w:color="auto" w:fill="D9D9D9" w:themeFill="background1" w:themeFillShade="D9"/>
          </w:tcPr>
          <w:p w14:paraId="5846F322" w14:textId="77777777" w:rsidR="00093C97" w:rsidRPr="00093C97" w:rsidRDefault="00093C97" w:rsidP="00783ACD">
            <w:pPr>
              <w:widowControl w:val="0"/>
              <w:rPr>
                <w:rFonts w:ascii="Gill Sans MT" w:hAnsi="Gill Sans MT"/>
                <w:b/>
                <w:bCs/>
                <w:sz w:val="20"/>
                <w:szCs w:val="20"/>
                <w:lang w:val="en-US"/>
              </w:rPr>
            </w:pPr>
            <w:r w:rsidRPr="00093C97">
              <w:rPr>
                <w:rFonts w:ascii="Gill Sans MT" w:hAnsi="Gill Sans MT"/>
                <w:b/>
                <w:bCs/>
                <w:sz w:val="20"/>
                <w:szCs w:val="20"/>
                <w:lang w:val="en-US"/>
              </w:rPr>
              <w:t>14 June 2017</w:t>
            </w:r>
          </w:p>
        </w:tc>
        <w:tc>
          <w:tcPr>
            <w:tcW w:w="498" w:type="pct"/>
            <w:shd w:val="clear" w:color="auto" w:fill="D9D9D9" w:themeFill="background1" w:themeFillShade="D9"/>
          </w:tcPr>
          <w:p w14:paraId="34EA4016" w14:textId="77777777" w:rsidR="00093C97" w:rsidRPr="00093C97" w:rsidRDefault="00093C97" w:rsidP="00783ACD">
            <w:pPr>
              <w:widowControl w:val="0"/>
              <w:rPr>
                <w:rFonts w:ascii="Gill Sans MT" w:hAnsi="Gill Sans MT"/>
                <w:b/>
                <w:bCs/>
                <w:sz w:val="20"/>
                <w:szCs w:val="20"/>
                <w:lang w:val="en-US"/>
              </w:rPr>
            </w:pPr>
            <w:r w:rsidRPr="00093C97">
              <w:rPr>
                <w:rFonts w:ascii="Gill Sans MT" w:hAnsi="Gill Sans MT"/>
                <w:b/>
                <w:bCs/>
                <w:sz w:val="20"/>
                <w:szCs w:val="20"/>
                <w:lang w:val="en-US"/>
              </w:rPr>
              <w:t>O-O-S Input</w:t>
            </w:r>
          </w:p>
        </w:tc>
      </w:tr>
      <w:tr w:rsidR="00626E73" w:rsidRPr="00093C97" w14:paraId="5F7BE9A6" w14:textId="77777777" w:rsidTr="00093C97">
        <w:tc>
          <w:tcPr>
            <w:tcW w:w="1456" w:type="pct"/>
          </w:tcPr>
          <w:p w14:paraId="3FF0827B" w14:textId="77777777" w:rsidR="00626E73" w:rsidRPr="00093C97" w:rsidRDefault="007F56B2" w:rsidP="00783ACD">
            <w:pPr>
              <w:widowControl w:val="0"/>
              <w:rPr>
                <w:rFonts w:ascii="Gill Sans MT" w:hAnsi="Gill Sans MT"/>
                <w:bCs/>
                <w:sz w:val="20"/>
                <w:szCs w:val="20"/>
                <w:lang w:val="en-US"/>
              </w:rPr>
            </w:pPr>
            <w:r w:rsidRPr="00093C97">
              <w:rPr>
                <w:rFonts w:ascii="Gill Sans MT" w:hAnsi="Gill Sans MT" w:cs="Arial"/>
                <w:sz w:val="20"/>
                <w:szCs w:val="20"/>
              </w:rPr>
              <w:t>DHHS -</w:t>
            </w:r>
            <w:r w:rsidR="00626E73" w:rsidRPr="00093C97">
              <w:rPr>
                <w:rFonts w:ascii="Gill Sans MT" w:hAnsi="Gill Sans MT" w:cs="Arial"/>
                <w:sz w:val="20"/>
                <w:szCs w:val="20"/>
              </w:rPr>
              <w:t xml:space="preserve"> Corporate, Policy &amp; Regulatory Services</w:t>
            </w:r>
          </w:p>
        </w:tc>
        <w:tc>
          <w:tcPr>
            <w:tcW w:w="1000" w:type="pct"/>
          </w:tcPr>
          <w:p w14:paraId="08CA83A6" w14:textId="77777777" w:rsidR="00626E73" w:rsidRPr="00093C97" w:rsidRDefault="00626E73" w:rsidP="00783ACD">
            <w:pPr>
              <w:widowControl w:val="0"/>
              <w:rPr>
                <w:rFonts w:ascii="Gill Sans MT" w:hAnsi="Gill Sans MT" w:cs="Arial"/>
                <w:sz w:val="20"/>
                <w:szCs w:val="20"/>
              </w:rPr>
            </w:pPr>
            <w:r w:rsidRPr="00093C97">
              <w:rPr>
                <w:rFonts w:ascii="Gill Sans MT" w:hAnsi="Gill Sans MT" w:cs="Arial"/>
                <w:sz w:val="20"/>
                <w:szCs w:val="20"/>
              </w:rPr>
              <w:t>Michael Reynolds (Chair)</w:t>
            </w:r>
          </w:p>
        </w:tc>
        <w:tc>
          <w:tcPr>
            <w:tcW w:w="501" w:type="pct"/>
          </w:tcPr>
          <w:p w14:paraId="5C293E69"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545" w:type="pct"/>
          </w:tcPr>
          <w:p w14:paraId="354C2A72"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t>-</w:t>
            </w:r>
          </w:p>
        </w:tc>
        <w:tc>
          <w:tcPr>
            <w:tcW w:w="501" w:type="pct"/>
          </w:tcPr>
          <w:p w14:paraId="46052B42"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501" w:type="pct"/>
          </w:tcPr>
          <w:p w14:paraId="4F5966A1"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498" w:type="pct"/>
          </w:tcPr>
          <w:p w14:paraId="33C31EA8"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582F0D1E" w14:textId="77777777" w:rsidTr="00093C97">
        <w:tc>
          <w:tcPr>
            <w:tcW w:w="1456" w:type="pct"/>
            <w:vMerge w:val="restart"/>
          </w:tcPr>
          <w:p w14:paraId="2FBF5E3F" w14:textId="77777777" w:rsidR="006C4C4E" w:rsidRPr="00093C97" w:rsidRDefault="007F56B2" w:rsidP="00783ACD">
            <w:pPr>
              <w:widowControl w:val="0"/>
              <w:rPr>
                <w:rFonts w:ascii="Gill Sans MT" w:hAnsi="Gill Sans MT" w:cs="Arial"/>
                <w:sz w:val="20"/>
                <w:szCs w:val="20"/>
              </w:rPr>
            </w:pPr>
            <w:r w:rsidRPr="00093C97">
              <w:rPr>
                <w:rFonts w:ascii="Gill Sans MT" w:hAnsi="Gill Sans MT" w:cs="Arial"/>
                <w:sz w:val="20"/>
                <w:szCs w:val="20"/>
                <w:lang w:val="en-US"/>
              </w:rPr>
              <w:t xml:space="preserve">DHHS - </w:t>
            </w:r>
            <w:r w:rsidR="006C4C4E" w:rsidRPr="00093C97">
              <w:rPr>
                <w:rFonts w:ascii="Gill Sans MT" w:hAnsi="Gill Sans MT" w:cs="Arial"/>
                <w:sz w:val="20"/>
                <w:szCs w:val="20"/>
                <w:lang w:val="en-US"/>
              </w:rPr>
              <w:t>Mental Health, Alcohol and Drug Directorate</w:t>
            </w:r>
          </w:p>
        </w:tc>
        <w:tc>
          <w:tcPr>
            <w:tcW w:w="1000" w:type="pct"/>
          </w:tcPr>
          <w:p w14:paraId="5B8F61AA" w14:textId="77777777" w:rsidR="00626E73" w:rsidRPr="00093C97" w:rsidRDefault="00626E73" w:rsidP="00783ACD">
            <w:pPr>
              <w:widowControl w:val="0"/>
              <w:rPr>
                <w:rFonts w:ascii="Gill Sans MT" w:hAnsi="Gill Sans MT" w:cs="Arial"/>
                <w:sz w:val="20"/>
                <w:szCs w:val="20"/>
              </w:rPr>
            </w:pPr>
            <w:r w:rsidRPr="00093C97">
              <w:rPr>
                <w:rFonts w:ascii="Gill Sans MT" w:hAnsi="Gill Sans MT" w:cs="Arial"/>
                <w:sz w:val="20"/>
                <w:szCs w:val="20"/>
              </w:rPr>
              <w:t>Narelle Butt</w:t>
            </w:r>
          </w:p>
        </w:tc>
        <w:tc>
          <w:tcPr>
            <w:tcW w:w="501" w:type="pct"/>
          </w:tcPr>
          <w:p w14:paraId="26A29B3D"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t>-</w:t>
            </w:r>
          </w:p>
        </w:tc>
        <w:tc>
          <w:tcPr>
            <w:tcW w:w="545" w:type="pct"/>
          </w:tcPr>
          <w:p w14:paraId="472A3CE4"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p w14:paraId="3A6EC67A"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t>(A/Chair)</w:t>
            </w:r>
          </w:p>
        </w:tc>
        <w:tc>
          <w:tcPr>
            <w:tcW w:w="501" w:type="pct"/>
          </w:tcPr>
          <w:p w14:paraId="46C11362"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t>-</w:t>
            </w:r>
          </w:p>
        </w:tc>
        <w:tc>
          <w:tcPr>
            <w:tcW w:w="501" w:type="pct"/>
          </w:tcPr>
          <w:p w14:paraId="78116101"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t>-</w:t>
            </w:r>
          </w:p>
        </w:tc>
        <w:tc>
          <w:tcPr>
            <w:tcW w:w="498" w:type="pct"/>
          </w:tcPr>
          <w:p w14:paraId="4DC34B5D"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04DBC093" w14:textId="77777777" w:rsidTr="00093C97">
        <w:tc>
          <w:tcPr>
            <w:tcW w:w="1456" w:type="pct"/>
            <w:vMerge/>
          </w:tcPr>
          <w:p w14:paraId="20172C0A" w14:textId="77777777" w:rsidR="00626E73" w:rsidRPr="00093C97" w:rsidRDefault="00626E73" w:rsidP="00783ACD">
            <w:pPr>
              <w:widowControl w:val="0"/>
              <w:rPr>
                <w:rFonts w:ascii="Gill Sans MT" w:hAnsi="Gill Sans MT" w:cs="Arial"/>
                <w:sz w:val="20"/>
                <w:szCs w:val="20"/>
                <w:lang w:val="en-US"/>
              </w:rPr>
            </w:pPr>
          </w:p>
        </w:tc>
        <w:tc>
          <w:tcPr>
            <w:tcW w:w="1000" w:type="pct"/>
          </w:tcPr>
          <w:p w14:paraId="340143F1" w14:textId="77777777" w:rsidR="00626E73" w:rsidRPr="00093C97" w:rsidRDefault="00626E73" w:rsidP="00783ACD">
            <w:pPr>
              <w:widowControl w:val="0"/>
              <w:rPr>
                <w:rFonts w:ascii="Gill Sans MT" w:hAnsi="Gill Sans MT" w:cs="Arial"/>
                <w:sz w:val="20"/>
                <w:szCs w:val="20"/>
              </w:rPr>
            </w:pPr>
            <w:r w:rsidRPr="00093C97">
              <w:rPr>
                <w:rFonts w:ascii="Gill Sans MT" w:hAnsi="Gill Sans MT" w:cs="Arial"/>
                <w:sz w:val="20"/>
                <w:szCs w:val="20"/>
              </w:rPr>
              <w:t>Sylvia Engels</w:t>
            </w:r>
          </w:p>
        </w:tc>
        <w:tc>
          <w:tcPr>
            <w:tcW w:w="501" w:type="pct"/>
          </w:tcPr>
          <w:p w14:paraId="2F9832E4"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45" w:type="pct"/>
          </w:tcPr>
          <w:p w14:paraId="7CE53376"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501" w:type="pct"/>
          </w:tcPr>
          <w:p w14:paraId="7FF41F83"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501" w:type="pct"/>
          </w:tcPr>
          <w:p w14:paraId="5369E949"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498" w:type="pct"/>
          </w:tcPr>
          <w:p w14:paraId="212789BC"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674C534F" w14:textId="77777777" w:rsidTr="00093C97">
        <w:tc>
          <w:tcPr>
            <w:tcW w:w="1456" w:type="pct"/>
          </w:tcPr>
          <w:p w14:paraId="7D77819E" w14:textId="77777777" w:rsidR="00626E73" w:rsidRPr="00093C97" w:rsidRDefault="007F56B2" w:rsidP="00783ACD">
            <w:pPr>
              <w:widowControl w:val="0"/>
              <w:rPr>
                <w:rFonts w:ascii="Gill Sans MT" w:hAnsi="Gill Sans MT" w:cs="Arial"/>
                <w:sz w:val="20"/>
                <w:szCs w:val="20"/>
                <w:lang w:val="en-US"/>
              </w:rPr>
            </w:pPr>
            <w:r w:rsidRPr="00093C97">
              <w:rPr>
                <w:rFonts w:ascii="Gill Sans MT" w:hAnsi="Gill Sans MT" w:cs="Arial"/>
                <w:sz w:val="20"/>
                <w:szCs w:val="20"/>
                <w:lang w:val="en-US"/>
              </w:rPr>
              <w:t xml:space="preserve">DHHS - </w:t>
            </w:r>
            <w:r w:rsidR="00626E73" w:rsidRPr="00093C97">
              <w:rPr>
                <w:rFonts w:ascii="Gill Sans MT" w:hAnsi="Gill Sans MT" w:cs="Arial"/>
                <w:sz w:val="20"/>
                <w:szCs w:val="20"/>
                <w:lang w:val="en-US"/>
              </w:rPr>
              <w:t>Public Health Services</w:t>
            </w:r>
          </w:p>
        </w:tc>
        <w:tc>
          <w:tcPr>
            <w:tcW w:w="1000" w:type="pct"/>
          </w:tcPr>
          <w:p w14:paraId="6CB48FC5" w14:textId="77777777" w:rsidR="00626E73" w:rsidRPr="00093C97" w:rsidRDefault="00626E73" w:rsidP="00783ACD">
            <w:pPr>
              <w:widowControl w:val="0"/>
              <w:rPr>
                <w:rFonts w:ascii="Gill Sans MT" w:hAnsi="Gill Sans MT" w:cs="Arial"/>
                <w:sz w:val="20"/>
                <w:szCs w:val="20"/>
              </w:rPr>
            </w:pPr>
            <w:r w:rsidRPr="00093C97">
              <w:rPr>
                <w:rFonts w:ascii="Gill Sans MT" w:hAnsi="Gill Sans MT" w:cs="Arial"/>
                <w:sz w:val="20"/>
                <w:szCs w:val="20"/>
              </w:rPr>
              <w:t xml:space="preserve">Siobhan Harpur </w:t>
            </w:r>
          </w:p>
        </w:tc>
        <w:tc>
          <w:tcPr>
            <w:tcW w:w="501" w:type="pct"/>
          </w:tcPr>
          <w:p w14:paraId="65FC5EB1"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45" w:type="pct"/>
          </w:tcPr>
          <w:p w14:paraId="1DC99C52"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01" w:type="pct"/>
          </w:tcPr>
          <w:p w14:paraId="5A7EBE78"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01" w:type="pct"/>
          </w:tcPr>
          <w:p w14:paraId="4B5DE2C6"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498" w:type="pct"/>
          </w:tcPr>
          <w:p w14:paraId="6BD1B652"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58992A37" w14:textId="77777777" w:rsidTr="00093C97">
        <w:tc>
          <w:tcPr>
            <w:tcW w:w="1456" w:type="pct"/>
          </w:tcPr>
          <w:p w14:paraId="7624F0B6" w14:textId="77777777" w:rsidR="00626E73" w:rsidRPr="00093C97" w:rsidRDefault="007F56B2" w:rsidP="00783ACD">
            <w:pPr>
              <w:widowControl w:val="0"/>
              <w:rPr>
                <w:rFonts w:ascii="Gill Sans MT" w:hAnsi="Gill Sans MT" w:cs="Arial"/>
                <w:sz w:val="20"/>
                <w:szCs w:val="20"/>
                <w:lang w:val="en-US"/>
              </w:rPr>
            </w:pPr>
            <w:r w:rsidRPr="00093C97">
              <w:rPr>
                <w:rFonts w:ascii="Gill Sans MT" w:hAnsi="Gill Sans MT" w:cs="Arial"/>
                <w:sz w:val="20"/>
                <w:szCs w:val="20"/>
                <w:lang w:val="en-US"/>
              </w:rPr>
              <w:t xml:space="preserve">DHHS - </w:t>
            </w:r>
            <w:r w:rsidR="00626E73" w:rsidRPr="00093C97">
              <w:rPr>
                <w:rFonts w:ascii="Gill Sans MT" w:hAnsi="Gill Sans MT" w:cs="Arial"/>
                <w:sz w:val="20"/>
                <w:szCs w:val="20"/>
                <w:lang w:val="en-US"/>
              </w:rPr>
              <w:t>Government Relations and Strategic Policy</w:t>
            </w:r>
          </w:p>
        </w:tc>
        <w:tc>
          <w:tcPr>
            <w:tcW w:w="1000" w:type="pct"/>
          </w:tcPr>
          <w:p w14:paraId="02336F5B" w14:textId="77777777" w:rsidR="00626E73" w:rsidRPr="00093C97" w:rsidRDefault="00626E73" w:rsidP="00783ACD">
            <w:pPr>
              <w:widowControl w:val="0"/>
              <w:rPr>
                <w:rFonts w:ascii="Gill Sans MT" w:hAnsi="Gill Sans MT" w:cs="Arial"/>
                <w:sz w:val="20"/>
                <w:szCs w:val="20"/>
              </w:rPr>
            </w:pPr>
            <w:r w:rsidRPr="00093C97">
              <w:rPr>
                <w:rFonts w:ascii="Gill Sans MT" w:hAnsi="Gill Sans MT" w:cs="Arial"/>
                <w:sz w:val="20"/>
                <w:szCs w:val="20"/>
              </w:rPr>
              <w:t>Erin Taylor</w:t>
            </w:r>
          </w:p>
        </w:tc>
        <w:tc>
          <w:tcPr>
            <w:tcW w:w="501" w:type="pct"/>
          </w:tcPr>
          <w:p w14:paraId="0A43A5A4"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45" w:type="pct"/>
          </w:tcPr>
          <w:p w14:paraId="6036452B"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t>-</w:t>
            </w:r>
          </w:p>
        </w:tc>
        <w:tc>
          <w:tcPr>
            <w:tcW w:w="501" w:type="pct"/>
          </w:tcPr>
          <w:p w14:paraId="1D08631F"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01" w:type="pct"/>
          </w:tcPr>
          <w:p w14:paraId="65CF6504"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t>-</w:t>
            </w:r>
          </w:p>
        </w:tc>
        <w:tc>
          <w:tcPr>
            <w:tcW w:w="498" w:type="pct"/>
          </w:tcPr>
          <w:p w14:paraId="6063329A"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578A2419" w14:textId="77777777" w:rsidTr="00093C97">
        <w:tc>
          <w:tcPr>
            <w:tcW w:w="1456" w:type="pct"/>
          </w:tcPr>
          <w:p w14:paraId="06F56BE2"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Department of Treasury and Finance – Liquor and Gaming Branch</w:t>
            </w:r>
          </w:p>
        </w:tc>
        <w:tc>
          <w:tcPr>
            <w:tcW w:w="1000" w:type="pct"/>
          </w:tcPr>
          <w:p w14:paraId="10385FCC" w14:textId="77777777" w:rsidR="00626E73" w:rsidRPr="00093C97" w:rsidRDefault="00626E73" w:rsidP="00783ACD">
            <w:pPr>
              <w:widowControl w:val="0"/>
              <w:rPr>
                <w:rFonts w:ascii="Gill Sans MT" w:hAnsi="Gill Sans MT" w:cs="Arial"/>
                <w:sz w:val="20"/>
                <w:szCs w:val="20"/>
              </w:rPr>
            </w:pPr>
            <w:r w:rsidRPr="00093C97">
              <w:rPr>
                <w:rFonts w:ascii="Gill Sans MT" w:hAnsi="Gill Sans MT" w:cs="Arial"/>
                <w:sz w:val="20"/>
                <w:szCs w:val="20"/>
                <w:lang w:val="en-US"/>
              </w:rPr>
              <w:t>Greg Partridge/</w:t>
            </w:r>
            <w:r w:rsidRPr="00093C97">
              <w:rPr>
                <w:rFonts w:ascii="Gill Sans MT" w:hAnsi="Gill Sans MT" w:cs="Arial"/>
                <w:sz w:val="20"/>
                <w:szCs w:val="20"/>
                <w:lang w:val="en-US"/>
              </w:rPr>
              <w:br/>
              <w:t>Damien Jarvis</w:t>
            </w:r>
          </w:p>
        </w:tc>
        <w:tc>
          <w:tcPr>
            <w:tcW w:w="501" w:type="pct"/>
          </w:tcPr>
          <w:p w14:paraId="5DBFCC68"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t>-</w:t>
            </w:r>
          </w:p>
        </w:tc>
        <w:tc>
          <w:tcPr>
            <w:tcW w:w="545" w:type="pct"/>
          </w:tcPr>
          <w:p w14:paraId="22118D92"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501" w:type="pct"/>
          </w:tcPr>
          <w:p w14:paraId="1670E113"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501" w:type="pct"/>
          </w:tcPr>
          <w:p w14:paraId="037750E0"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t>-</w:t>
            </w:r>
          </w:p>
        </w:tc>
        <w:tc>
          <w:tcPr>
            <w:tcW w:w="498" w:type="pct"/>
          </w:tcPr>
          <w:p w14:paraId="136652FB"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60936C85" w14:textId="77777777" w:rsidTr="00093C97">
        <w:tc>
          <w:tcPr>
            <w:tcW w:w="1456" w:type="pct"/>
          </w:tcPr>
          <w:p w14:paraId="6997C6C5"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Department of Police, Fire and Emergency Management</w:t>
            </w:r>
          </w:p>
        </w:tc>
        <w:tc>
          <w:tcPr>
            <w:tcW w:w="1000" w:type="pct"/>
          </w:tcPr>
          <w:p w14:paraId="7EB15EC9"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Richard Cowling/</w:t>
            </w:r>
          </w:p>
          <w:p w14:paraId="758E4272"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Anthony Cerritelli/Glenn Frame/Bridget Wiggins/Robert Bonde/Emma Fitzpatrick</w:t>
            </w:r>
          </w:p>
        </w:tc>
        <w:tc>
          <w:tcPr>
            <w:tcW w:w="501" w:type="pct"/>
          </w:tcPr>
          <w:p w14:paraId="6D981250"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45" w:type="pct"/>
          </w:tcPr>
          <w:p w14:paraId="7E036D7C"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01" w:type="pct"/>
          </w:tcPr>
          <w:p w14:paraId="648C39F0"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01" w:type="pct"/>
          </w:tcPr>
          <w:p w14:paraId="72978AD2"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498" w:type="pct"/>
          </w:tcPr>
          <w:p w14:paraId="3AB583F0"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457780A7" w14:textId="77777777" w:rsidTr="00093C97">
        <w:tc>
          <w:tcPr>
            <w:tcW w:w="1456" w:type="pct"/>
          </w:tcPr>
          <w:p w14:paraId="12B71E75"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Department of Justice</w:t>
            </w:r>
          </w:p>
        </w:tc>
        <w:tc>
          <w:tcPr>
            <w:tcW w:w="1000" w:type="pct"/>
          </w:tcPr>
          <w:p w14:paraId="161836D0"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Nick Evans/Dale Webster</w:t>
            </w:r>
          </w:p>
        </w:tc>
        <w:tc>
          <w:tcPr>
            <w:tcW w:w="501" w:type="pct"/>
          </w:tcPr>
          <w:p w14:paraId="39FB87E7"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t>-</w:t>
            </w:r>
          </w:p>
        </w:tc>
        <w:tc>
          <w:tcPr>
            <w:tcW w:w="545" w:type="pct"/>
          </w:tcPr>
          <w:p w14:paraId="0199878E"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01" w:type="pct"/>
          </w:tcPr>
          <w:p w14:paraId="79F215DE"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01" w:type="pct"/>
          </w:tcPr>
          <w:p w14:paraId="573DEA32"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498" w:type="pct"/>
          </w:tcPr>
          <w:p w14:paraId="7D4E71FA"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637AD124" w14:textId="77777777" w:rsidTr="00093C97">
        <w:tc>
          <w:tcPr>
            <w:tcW w:w="1456" w:type="pct"/>
          </w:tcPr>
          <w:p w14:paraId="148F51D3"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Department of Education</w:t>
            </w:r>
          </w:p>
        </w:tc>
        <w:tc>
          <w:tcPr>
            <w:tcW w:w="1000" w:type="pct"/>
          </w:tcPr>
          <w:p w14:paraId="5942C63F"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Suzanne Pennicott-Jones/Anne Hull/ Nadine Davey</w:t>
            </w:r>
          </w:p>
        </w:tc>
        <w:tc>
          <w:tcPr>
            <w:tcW w:w="501" w:type="pct"/>
          </w:tcPr>
          <w:p w14:paraId="71BC3A5F" w14:textId="77777777" w:rsidR="00626E73" w:rsidRPr="00093C97" w:rsidRDefault="00626E73" w:rsidP="00783ACD">
            <w:pPr>
              <w:widowControl w:val="0"/>
              <w:rPr>
                <w:rFonts w:ascii="Gill Sans MT" w:hAnsi="Gill Sans MT"/>
              </w:rPr>
            </w:pPr>
            <w:r w:rsidRPr="00093C97">
              <w:rPr>
                <w:rFonts w:ascii="Gill Sans MT" w:hAnsi="Gill Sans MT"/>
              </w:rPr>
              <w:t>-</w:t>
            </w:r>
          </w:p>
        </w:tc>
        <w:tc>
          <w:tcPr>
            <w:tcW w:w="545" w:type="pct"/>
          </w:tcPr>
          <w:p w14:paraId="5D184665"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t>-</w:t>
            </w:r>
          </w:p>
        </w:tc>
        <w:tc>
          <w:tcPr>
            <w:tcW w:w="501" w:type="pct"/>
          </w:tcPr>
          <w:p w14:paraId="07518283"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01" w:type="pct"/>
          </w:tcPr>
          <w:p w14:paraId="5D088BB1"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498" w:type="pct"/>
          </w:tcPr>
          <w:p w14:paraId="2BE3F6AB"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5917663C" w14:textId="77777777" w:rsidTr="00093C97">
        <w:tc>
          <w:tcPr>
            <w:tcW w:w="1456" w:type="pct"/>
          </w:tcPr>
          <w:p w14:paraId="79B635CE"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Department of Premier and Cabinet – Policy Division</w:t>
            </w:r>
          </w:p>
        </w:tc>
        <w:tc>
          <w:tcPr>
            <w:tcW w:w="1000" w:type="pct"/>
          </w:tcPr>
          <w:p w14:paraId="5E3B16F8"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Andrew Rayner/Jo Hall</w:t>
            </w:r>
          </w:p>
        </w:tc>
        <w:tc>
          <w:tcPr>
            <w:tcW w:w="501" w:type="pct"/>
          </w:tcPr>
          <w:p w14:paraId="1BED211B" w14:textId="77777777" w:rsidR="00626E73" w:rsidRPr="00093C97" w:rsidRDefault="00626E73" w:rsidP="00783ACD">
            <w:pPr>
              <w:widowControl w:val="0"/>
              <w:rPr>
                <w:rFonts w:ascii="Gill Sans MT" w:hAnsi="Gill Sans MT"/>
              </w:rPr>
            </w:pPr>
            <w:r w:rsidRPr="00093C97">
              <w:rPr>
                <w:rFonts w:ascii="Gill Sans MT" w:hAnsi="Gill Sans MT"/>
              </w:rPr>
              <w:t>-</w:t>
            </w:r>
          </w:p>
        </w:tc>
        <w:tc>
          <w:tcPr>
            <w:tcW w:w="545" w:type="pct"/>
          </w:tcPr>
          <w:p w14:paraId="731BC9B2"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t>-</w:t>
            </w:r>
          </w:p>
        </w:tc>
        <w:tc>
          <w:tcPr>
            <w:tcW w:w="501" w:type="pct"/>
          </w:tcPr>
          <w:p w14:paraId="0C15970C"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01" w:type="pct"/>
          </w:tcPr>
          <w:p w14:paraId="335051B2"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498" w:type="pct"/>
          </w:tcPr>
          <w:p w14:paraId="2B5AE532"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31CF86C5" w14:textId="77777777" w:rsidTr="00093C97">
        <w:tc>
          <w:tcPr>
            <w:tcW w:w="1456" w:type="pct"/>
          </w:tcPr>
          <w:p w14:paraId="71B9F90A"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The Alcohol, Tobacco and Other Drugs Council (ATDC)</w:t>
            </w:r>
          </w:p>
        </w:tc>
        <w:tc>
          <w:tcPr>
            <w:tcW w:w="1000" w:type="pct"/>
          </w:tcPr>
          <w:p w14:paraId="0693EE65"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Becky Shelley/Debra Rabe/Jackie Hallam</w:t>
            </w:r>
          </w:p>
        </w:tc>
        <w:tc>
          <w:tcPr>
            <w:tcW w:w="501" w:type="pct"/>
          </w:tcPr>
          <w:p w14:paraId="742D529C"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c>
          <w:tcPr>
            <w:tcW w:w="545" w:type="pct"/>
          </w:tcPr>
          <w:p w14:paraId="09C7142D"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501" w:type="pct"/>
          </w:tcPr>
          <w:p w14:paraId="355DAC3C"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501" w:type="pct"/>
          </w:tcPr>
          <w:p w14:paraId="65A541E0"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498" w:type="pct"/>
          </w:tcPr>
          <w:p w14:paraId="0FDD248A"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r w:rsidR="00626E73" w:rsidRPr="00093C97" w14:paraId="0FA94353" w14:textId="77777777" w:rsidTr="00093C97">
        <w:tblPrEx>
          <w:tblCellMar>
            <w:top w:w="0" w:type="dxa"/>
            <w:bottom w:w="0" w:type="dxa"/>
          </w:tblCellMar>
        </w:tblPrEx>
        <w:tc>
          <w:tcPr>
            <w:tcW w:w="1456" w:type="pct"/>
          </w:tcPr>
          <w:p w14:paraId="0171F5BB"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Local Government Association of Tasmania (observer status)</w:t>
            </w:r>
          </w:p>
        </w:tc>
        <w:tc>
          <w:tcPr>
            <w:tcW w:w="1000" w:type="pct"/>
          </w:tcPr>
          <w:p w14:paraId="0BECC953" w14:textId="77777777" w:rsidR="00626E73" w:rsidRPr="00093C97" w:rsidRDefault="00626E73" w:rsidP="00783ACD">
            <w:pPr>
              <w:widowControl w:val="0"/>
              <w:rPr>
                <w:rFonts w:ascii="Gill Sans MT" w:hAnsi="Gill Sans MT" w:cs="Arial"/>
                <w:sz w:val="20"/>
                <w:szCs w:val="20"/>
                <w:lang w:val="en-US"/>
              </w:rPr>
            </w:pPr>
            <w:r w:rsidRPr="00093C97">
              <w:rPr>
                <w:rFonts w:ascii="Gill Sans MT" w:hAnsi="Gill Sans MT" w:cs="Arial"/>
                <w:sz w:val="20"/>
                <w:szCs w:val="20"/>
                <w:lang w:val="en-US"/>
              </w:rPr>
              <w:t>Penny Finlay</w:t>
            </w:r>
          </w:p>
        </w:tc>
        <w:tc>
          <w:tcPr>
            <w:tcW w:w="501" w:type="pct"/>
          </w:tcPr>
          <w:p w14:paraId="15F42616"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t>-</w:t>
            </w:r>
          </w:p>
        </w:tc>
        <w:tc>
          <w:tcPr>
            <w:tcW w:w="545" w:type="pct"/>
          </w:tcPr>
          <w:p w14:paraId="5265CA0F"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501" w:type="pct"/>
          </w:tcPr>
          <w:p w14:paraId="26057C27"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501" w:type="pct"/>
          </w:tcPr>
          <w:p w14:paraId="3B78A61B" w14:textId="77777777" w:rsidR="00626E73" w:rsidRPr="00093C97" w:rsidRDefault="00626E73" w:rsidP="00783ACD">
            <w:pPr>
              <w:widowControl w:val="0"/>
              <w:rPr>
                <w:rFonts w:ascii="Gill Sans MT" w:hAnsi="Gill Sans MT"/>
                <w:bCs/>
                <w:sz w:val="20"/>
                <w:szCs w:val="20"/>
                <w:lang w:val="en-US"/>
              </w:rPr>
            </w:pPr>
            <w:r w:rsidRPr="00093C97">
              <w:rPr>
                <w:rFonts w:ascii="Gill Sans MT" w:hAnsi="Gill Sans MT"/>
                <w:bCs/>
                <w:sz w:val="20"/>
                <w:szCs w:val="20"/>
                <w:lang w:val="en-US"/>
              </w:rPr>
              <w:sym w:font="Wingdings" w:char="F0FC"/>
            </w:r>
          </w:p>
        </w:tc>
        <w:tc>
          <w:tcPr>
            <w:tcW w:w="498" w:type="pct"/>
          </w:tcPr>
          <w:p w14:paraId="1E892DA8" w14:textId="77777777" w:rsidR="00626E73" w:rsidRPr="00093C97" w:rsidRDefault="00626E73" w:rsidP="00783ACD">
            <w:pPr>
              <w:widowControl w:val="0"/>
              <w:rPr>
                <w:rFonts w:ascii="Gill Sans MT" w:hAnsi="Gill Sans MT"/>
              </w:rPr>
            </w:pPr>
            <w:r w:rsidRPr="00093C97">
              <w:rPr>
                <w:rFonts w:ascii="Gill Sans MT" w:hAnsi="Gill Sans MT"/>
                <w:bCs/>
                <w:sz w:val="20"/>
                <w:szCs w:val="20"/>
                <w:lang w:val="en-US"/>
              </w:rPr>
              <w:sym w:font="Wingdings" w:char="F0FC"/>
            </w:r>
          </w:p>
        </w:tc>
      </w:tr>
    </w:tbl>
    <w:p w14:paraId="6B8890F4" w14:textId="77777777" w:rsidR="002D610F" w:rsidRPr="00093C97" w:rsidRDefault="002D610F" w:rsidP="00783ACD">
      <w:pPr>
        <w:pStyle w:val="Heading2"/>
        <w:keepNext w:val="0"/>
        <w:keepLines w:val="0"/>
        <w:widowControl w:val="0"/>
        <w:rPr>
          <w:rFonts w:ascii="Gill Sans MT" w:hAnsi="Gill Sans MT"/>
        </w:rPr>
      </w:pPr>
      <w:r w:rsidRPr="00093C97">
        <w:rPr>
          <w:rFonts w:ascii="Gill Sans MT" w:hAnsi="Gill Sans MT"/>
        </w:rPr>
        <w:t xml:space="preserve">Alcohol, tobacco and other drugs use and harms in Tasmania </w:t>
      </w:r>
    </w:p>
    <w:p w14:paraId="712DDD9E" w14:textId="77777777" w:rsidR="002D610F" w:rsidRPr="00093C97" w:rsidRDefault="002D610F" w:rsidP="00783ACD">
      <w:pPr>
        <w:widowControl w:val="0"/>
        <w:spacing w:after="140" w:line="260" w:lineRule="atLeast"/>
        <w:rPr>
          <w:rFonts w:ascii="Gill Sans MT" w:hAnsi="Gill Sans MT"/>
        </w:rPr>
      </w:pPr>
      <w:r w:rsidRPr="00093C97">
        <w:rPr>
          <w:rFonts w:ascii="Gill Sans MT" w:hAnsi="Gill Sans MT"/>
        </w:rPr>
        <w:t xml:space="preserve">The use of drugs, including alcohol, tobacco, illicit drugs and pharmaceuticals causes significant harms </w:t>
      </w:r>
      <w:r w:rsidRPr="00093C97">
        <w:rPr>
          <w:rFonts w:ascii="Gill Sans MT" w:hAnsi="Gill Sans MT"/>
        </w:rPr>
        <w:lastRenderedPageBreak/>
        <w:t xml:space="preserve">to individuals, families and the community.  The health harms </w:t>
      </w:r>
      <w:proofErr w:type="gramStart"/>
      <w:r w:rsidRPr="00093C97">
        <w:rPr>
          <w:rFonts w:ascii="Gill Sans MT" w:hAnsi="Gill Sans MT"/>
        </w:rPr>
        <w:t>includes</w:t>
      </w:r>
      <w:proofErr w:type="gramEnd"/>
      <w:r w:rsidRPr="00093C97">
        <w:rPr>
          <w:rFonts w:ascii="Gill Sans MT" w:hAnsi="Gill Sans MT"/>
        </w:rPr>
        <w:t xml:space="preserve"> increased risk of injuries and deaths, cancers, cardiovascular diseases, liver cirrhosis, mental health problems, and shortened life expectancy.  It also includes economic harms</w:t>
      </w:r>
      <w:r w:rsidR="0043360C" w:rsidRPr="00093C97">
        <w:rPr>
          <w:rFonts w:ascii="Gill Sans MT" w:hAnsi="Gill Sans MT"/>
        </w:rPr>
        <w:t xml:space="preserve"> arising</w:t>
      </w:r>
      <w:r w:rsidRPr="00093C97">
        <w:rPr>
          <w:rFonts w:ascii="Gill Sans MT" w:hAnsi="Gill Sans MT"/>
        </w:rPr>
        <w:t xml:space="preserve"> from </w:t>
      </w:r>
      <w:r w:rsidR="0043360C" w:rsidRPr="00093C97">
        <w:rPr>
          <w:rFonts w:ascii="Gill Sans MT" w:hAnsi="Gill Sans MT"/>
        </w:rPr>
        <w:t xml:space="preserve">the costs to </w:t>
      </w:r>
      <w:r w:rsidRPr="00093C97">
        <w:rPr>
          <w:rFonts w:ascii="Gill Sans MT" w:hAnsi="Gill Sans MT"/>
        </w:rPr>
        <w:t>health, hospital</w:t>
      </w:r>
      <w:r w:rsidR="0043360C" w:rsidRPr="00093C97">
        <w:rPr>
          <w:rFonts w:ascii="Gill Sans MT" w:hAnsi="Gill Sans MT"/>
        </w:rPr>
        <w:t>s</w:t>
      </w:r>
      <w:r w:rsidRPr="00093C97">
        <w:rPr>
          <w:rFonts w:ascii="Gill Sans MT" w:hAnsi="Gill Sans MT"/>
        </w:rPr>
        <w:t>, law enforcement and justice</w:t>
      </w:r>
      <w:r w:rsidR="0043360C" w:rsidRPr="00093C97">
        <w:rPr>
          <w:rFonts w:ascii="Gill Sans MT" w:hAnsi="Gill Sans MT"/>
        </w:rPr>
        <w:t xml:space="preserve"> systems</w:t>
      </w:r>
      <w:r w:rsidRPr="00093C97">
        <w:rPr>
          <w:rFonts w:ascii="Gill Sans MT" w:hAnsi="Gill Sans MT"/>
        </w:rPr>
        <w:t xml:space="preserve">, decreased productivity, associated criminal activity, reinforcement of marginalisation and disadvantage, domestic and family violence and child protection issues. Alcohol and other drug problems are also associated with social and health determinants such as discrimination, unemployment, homelessness, poverty and family breakdown. </w:t>
      </w:r>
    </w:p>
    <w:p w14:paraId="079BF5B5" w14:textId="77777777" w:rsidR="00FE307B" w:rsidRPr="00093C97" w:rsidRDefault="00FE307B" w:rsidP="00783ACD">
      <w:pPr>
        <w:widowControl w:val="0"/>
        <w:spacing w:after="140" w:line="260" w:lineRule="atLeast"/>
        <w:rPr>
          <w:rFonts w:ascii="Gill Sans MT" w:hAnsi="Gill Sans MT"/>
        </w:rPr>
      </w:pPr>
      <w:r w:rsidRPr="00093C97">
        <w:rPr>
          <w:rFonts w:ascii="Gill Sans MT" w:hAnsi="Gill Sans MT"/>
        </w:rPr>
        <w:t xml:space="preserve">The information below is the data from the </w:t>
      </w:r>
      <w:r w:rsidR="00AF0FAC" w:rsidRPr="00093C97">
        <w:rPr>
          <w:rFonts w:ascii="Gill Sans MT" w:hAnsi="Gill Sans MT"/>
        </w:rPr>
        <w:t>2015-16</w:t>
      </w:r>
      <w:r w:rsidRPr="00093C97">
        <w:rPr>
          <w:rFonts w:ascii="Gill Sans MT" w:hAnsi="Gill Sans MT"/>
        </w:rPr>
        <w:t xml:space="preserve"> annual report as well as any updated data that has been made available during the </w:t>
      </w:r>
      <w:r w:rsidR="00AF0FAC" w:rsidRPr="00093C97">
        <w:rPr>
          <w:rFonts w:ascii="Gill Sans MT" w:hAnsi="Gill Sans MT"/>
        </w:rPr>
        <w:t>2016-2017</w:t>
      </w:r>
      <w:r w:rsidRPr="00093C97">
        <w:rPr>
          <w:rFonts w:ascii="Gill Sans MT" w:hAnsi="Gill Sans MT"/>
        </w:rPr>
        <w:t xml:space="preserve"> reporting period. </w:t>
      </w:r>
    </w:p>
    <w:p w14:paraId="052DC53F" w14:textId="77777777" w:rsidR="00C9331A" w:rsidRPr="00093C97" w:rsidRDefault="00C9331A" w:rsidP="00783ACD">
      <w:pPr>
        <w:widowControl w:val="0"/>
        <w:spacing w:after="140" w:line="260" w:lineRule="atLeast"/>
        <w:rPr>
          <w:rFonts w:ascii="Gill Sans MT" w:hAnsi="Gill Sans MT"/>
        </w:rPr>
      </w:pPr>
      <w:r w:rsidRPr="00093C97">
        <w:rPr>
          <w:rFonts w:ascii="Gill Sans MT" w:hAnsi="Gill Sans MT"/>
        </w:rPr>
        <w:t xml:space="preserve">Public Health Services of DHHS also completed the Tasmanian Alcohol Data and Trends </w:t>
      </w:r>
      <w:r w:rsidR="00B10EAF" w:rsidRPr="00093C97">
        <w:rPr>
          <w:rFonts w:ascii="Gill Sans MT" w:hAnsi="Gill Sans MT"/>
        </w:rPr>
        <w:t>Report 2016.  The</w:t>
      </w:r>
      <w:r w:rsidRPr="00093C97">
        <w:rPr>
          <w:rFonts w:ascii="Gill Sans MT" w:hAnsi="Gill Sans MT"/>
        </w:rPr>
        <w:t xml:space="preserve"> report and associated fact sheets are available</w:t>
      </w:r>
      <w:r w:rsidR="00AF78E9" w:rsidRPr="00093C97">
        <w:rPr>
          <w:rFonts w:ascii="Gill Sans MT" w:hAnsi="Gill Sans MT"/>
        </w:rPr>
        <w:t xml:space="preserve"> from</w:t>
      </w:r>
      <w:r w:rsidR="000056D4" w:rsidRPr="00093C97">
        <w:rPr>
          <w:rFonts w:ascii="Gill Sans MT" w:hAnsi="Gill Sans MT"/>
        </w:rPr>
        <w:t xml:space="preserve"> Public Health Services Publications </w:t>
      </w:r>
      <w:r w:rsidR="00BA0153" w:rsidRPr="00093C97">
        <w:rPr>
          <w:rFonts w:ascii="Gill Sans MT" w:hAnsi="Gill Sans MT"/>
        </w:rPr>
        <w:t xml:space="preserve">page </w:t>
      </w:r>
      <w:hyperlink r:id="rId17" w:history="1">
        <w:r w:rsidR="000056D4" w:rsidRPr="00093C97">
          <w:rPr>
            <w:rStyle w:val="Hyperlink"/>
            <w:rFonts w:ascii="Gill Sans MT" w:hAnsi="Gill Sans MT"/>
          </w:rPr>
          <w:t>Tasmanian Alcohol Data and Trends Report 2016</w:t>
        </w:r>
      </w:hyperlink>
      <w:r w:rsidRPr="00093C97">
        <w:rPr>
          <w:rFonts w:ascii="Gill Sans MT" w:hAnsi="Gill Sans MT"/>
        </w:rPr>
        <w:t xml:space="preserve"> </w:t>
      </w:r>
    </w:p>
    <w:p w14:paraId="47F4C6F8" w14:textId="77777777" w:rsidR="002D610F" w:rsidRPr="00093C97" w:rsidRDefault="002D610F" w:rsidP="00783ACD">
      <w:pPr>
        <w:widowControl w:val="0"/>
        <w:spacing w:after="140" w:line="260" w:lineRule="atLeast"/>
        <w:rPr>
          <w:rFonts w:ascii="Gill Sans MT" w:hAnsi="Gill Sans MT" w:cs="Aharoni"/>
        </w:rPr>
      </w:pPr>
      <w:r w:rsidRPr="00093C97">
        <w:rPr>
          <w:rFonts w:ascii="Gill Sans MT" w:hAnsi="Gill Sans MT" w:cs="Aharoni"/>
        </w:rPr>
        <w:t>According to the Australian Institute o</w:t>
      </w:r>
      <w:r w:rsidR="00FD7D28" w:rsidRPr="00093C97">
        <w:rPr>
          <w:rFonts w:ascii="Gill Sans MT" w:hAnsi="Gill Sans MT" w:cs="Aharoni"/>
        </w:rPr>
        <w:t>f Health and Welfare (AIHW) 2016</w:t>
      </w:r>
      <w:r w:rsidRPr="00093C97">
        <w:rPr>
          <w:rFonts w:ascii="Gill Sans MT" w:hAnsi="Gill Sans MT" w:cs="Aharoni"/>
        </w:rPr>
        <w:t xml:space="preserve"> National Drug Strategy Household Survey</w:t>
      </w:r>
      <w:r w:rsidR="000633FC" w:rsidRPr="00093C97">
        <w:rPr>
          <w:rFonts w:ascii="Gill Sans MT" w:hAnsi="Gill Sans MT" w:cs="Aharoni"/>
        </w:rPr>
        <w:t xml:space="preserve"> (NDSHS)</w:t>
      </w:r>
      <w:r w:rsidRPr="00093C97">
        <w:rPr>
          <w:rStyle w:val="EndnoteReference"/>
          <w:rFonts w:ascii="Gill Sans MT" w:hAnsi="Gill Sans MT" w:cs="Aharoni"/>
        </w:rPr>
        <w:endnoteReference w:id="3"/>
      </w:r>
      <w:r w:rsidR="00165218" w:rsidRPr="00093C97">
        <w:rPr>
          <w:rFonts w:ascii="Gill Sans MT" w:hAnsi="Gill Sans MT" w:cs="Aharoni"/>
        </w:rPr>
        <w:t>,</w:t>
      </w:r>
      <w:r w:rsidR="00FD7D28" w:rsidRPr="00093C97">
        <w:rPr>
          <w:rFonts w:ascii="Gill Sans MT" w:hAnsi="Gill Sans MT" w:cs="Aharoni"/>
        </w:rPr>
        <w:t xml:space="preserve"> </w:t>
      </w:r>
      <w:r w:rsidRPr="00093C97">
        <w:rPr>
          <w:rFonts w:ascii="Gill Sans MT" w:hAnsi="Gill Sans MT" w:cs="Aharoni"/>
        </w:rPr>
        <w:t xml:space="preserve">alcohol and tobacco remained the most widely used drugs in Tasmania by those aged </w:t>
      </w:r>
      <w:r w:rsidR="00FD7D28" w:rsidRPr="00093C97">
        <w:rPr>
          <w:rFonts w:ascii="Gill Sans MT" w:hAnsi="Gill Sans MT" w:cs="Aharoni"/>
        </w:rPr>
        <w:t>14 years and over.  In 2016</w:t>
      </w:r>
      <w:r w:rsidRPr="00093C97">
        <w:rPr>
          <w:rFonts w:ascii="Gill Sans MT" w:hAnsi="Gill Sans MT" w:cs="Aharoni"/>
        </w:rPr>
        <w:t>, self-reported alcohol, tobacco and other drug use shows:</w:t>
      </w:r>
    </w:p>
    <w:p w14:paraId="14820412" w14:textId="77777777" w:rsidR="002D610F" w:rsidRPr="00093C97" w:rsidRDefault="00442D30" w:rsidP="00783ACD">
      <w:pPr>
        <w:pStyle w:val="ListParagraph"/>
        <w:widowControl w:val="0"/>
        <w:numPr>
          <w:ilvl w:val="0"/>
          <w:numId w:val="3"/>
        </w:numPr>
        <w:spacing w:after="140" w:line="240" w:lineRule="auto"/>
        <w:ind w:left="567" w:hanging="567"/>
        <w:rPr>
          <w:rFonts w:ascii="Gill Sans MT" w:hAnsi="Gill Sans MT" w:cs="Aharoni"/>
        </w:rPr>
      </w:pPr>
      <w:r w:rsidRPr="00093C97">
        <w:rPr>
          <w:rFonts w:ascii="Gill Sans MT" w:hAnsi="Gill Sans MT"/>
        </w:rPr>
        <w:t>16.0</w:t>
      </w:r>
      <w:r w:rsidR="002D610F" w:rsidRPr="00093C97">
        <w:rPr>
          <w:rFonts w:ascii="Gill Sans MT" w:hAnsi="Gill Sans MT"/>
        </w:rPr>
        <w:t xml:space="preserve"> per cent smoked daily, </w:t>
      </w:r>
      <w:r w:rsidRPr="00093C97">
        <w:rPr>
          <w:rFonts w:ascii="Gill Sans MT" w:hAnsi="Gill Sans MT"/>
        </w:rPr>
        <w:t>41</w:t>
      </w:r>
      <w:r w:rsidR="002D610F" w:rsidRPr="00093C97">
        <w:rPr>
          <w:rFonts w:ascii="Gill Sans MT" w:hAnsi="Gill Sans MT"/>
        </w:rPr>
        <w:t xml:space="preserve"> per cent exceeded the single occasion risk guidelines for alcohol consumption</w:t>
      </w:r>
      <w:r w:rsidRPr="00093C97">
        <w:rPr>
          <w:rStyle w:val="FootnoteReference"/>
          <w:rFonts w:ascii="Gill Sans MT" w:hAnsi="Gill Sans MT"/>
        </w:rPr>
        <w:footnoteReference w:id="2"/>
      </w:r>
      <w:r w:rsidR="002D610F" w:rsidRPr="00093C97">
        <w:rPr>
          <w:rFonts w:ascii="Gill Sans MT" w:hAnsi="Gill Sans MT"/>
        </w:rPr>
        <w:t xml:space="preserve"> </w:t>
      </w:r>
      <w:r w:rsidRPr="00093C97">
        <w:rPr>
          <w:rFonts w:ascii="Gill Sans MT" w:hAnsi="Gill Sans MT"/>
        </w:rPr>
        <w:t xml:space="preserve">(up from 30 per cent in 2013) </w:t>
      </w:r>
      <w:r w:rsidR="002D610F" w:rsidRPr="00093C97">
        <w:rPr>
          <w:rFonts w:ascii="Gill Sans MT" w:hAnsi="Gill Sans MT"/>
        </w:rPr>
        <w:t xml:space="preserve">and </w:t>
      </w:r>
      <w:r w:rsidRPr="00093C97">
        <w:rPr>
          <w:rFonts w:ascii="Gill Sans MT" w:hAnsi="Gill Sans MT"/>
        </w:rPr>
        <w:t xml:space="preserve">17.4 </w:t>
      </w:r>
      <w:r w:rsidR="002D610F" w:rsidRPr="00093C97">
        <w:rPr>
          <w:rFonts w:ascii="Gill Sans MT" w:hAnsi="Gill Sans MT"/>
        </w:rPr>
        <w:t xml:space="preserve">per cent </w:t>
      </w:r>
      <w:r w:rsidRPr="00093C97">
        <w:rPr>
          <w:rFonts w:ascii="Gill Sans MT" w:hAnsi="Gill Sans MT"/>
        </w:rPr>
        <w:t>reported recent use of any illicit drug (up from 15.1 per cent in 2013), and higher than the national average of 15.6 per cent</w:t>
      </w:r>
      <w:r w:rsidR="002D610F" w:rsidRPr="00093C97">
        <w:rPr>
          <w:rFonts w:ascii="Gill Sans MT" w:hAnsi="Gill Sans MT"/>
        </w:rPr>
        <w:t xml:space="preserve">.  </w:t>
      </w:r>
    </w:p>
    <w:p w14:paraId="5AE2D033" w14:textId="77777777" w:rsidR="00442D30" w:rsidRPr="00093C97" w:rsidRDefault="00442D30" w:rsidP="00783ACD">
      <w:pPr>
        <w:pStyle w:val="BulletedListLevel1"/>
        <w:keepLines w:val="0"/>
        <w:widowControl w:val="0"/>
        <w:spacing w:line="240" w:lineRule="auto"/>
        <w:rPr>
          <w:sz w:val="22"/>
          <w:szCs w:val="22"/>
        </w:rPr>
      </w:pPr>
      <w:r w:rsidRPr="00093C97">
        <w:rPr>
          <w:sz w:val="22"/>
          <w:szCs w:val="22"/>
        </w:rPr>
        <w:t>Tasmania reported the least improvement between 2001 and 2016 of daily smokers (from 20.6 per cent to 16 per cent).  This was the second highest smoking rate after the Northern Territory (17.2 per cent).</w:t>
      </w:r>
    </w:p>
    <w:p w14:paraId="4A5A0E11" w14:textId="77777777" w:rsidR="00442D30" w:rsidRPr="00093C97" w:rsidRDefault="00442D30" w:rsidP="00783ACD">
      <w:pPr>
        <w:pStyle w:val="BulletedListLevel1"/>
        <w:keepLines w:val="0"/>
        <w:widowControl w:val="0"/>
        <w:spacing w:line="240" w:lineRule="auto"/>
        <w:rPr>
          <w:sz w:val="22"/>
          <w:szCs w:val="22"/>
        </w:rPr>
      </w:pPr>
      <w:r w:rsidRPr="00093C97">
        <w:rPr>
          <w:sz w:val="22"/>
          <w:szCs w:val="22"/>
        </w:rPr>
        <w:t xml:space="preserve">Tasmania had the highest proportion of all states and territories of people in their 20s (20 per cent), 30s (21.4 per cent) and 40s (21 per cent) who smoked daily. </w:t>
      </w:r>
    </w:p>
    <w:p w14:paraId="7BDA7E56" w14:textId="77777777" w:rsidR="00442D30" w:rsidRPr="00093C97" w:rsidRDefault="00442D30" w:rsidP="00783ACD">
      <w:pPr>
        <w:pStyle w:val="BulletedListLevel1"/>
        <w:keepLines w:val="0"/>
        <w:widowControl w:val="0"/>
        <w:spacing w:line="240" w:lineRule="auto"/>
        <w:rPr>
          <w:sz w:val="22"/>
          <w:szCs w:val="22"/>
        </w:rPr>
      </w:pPr>
      <w:r w:rsidRPr="00093C97">
        <w:rPr>
          <w:sz w:val="22"/>
          <w:szCs w:val="22"/>
        </w:rPr>
        <w:t xml:space="preserve">Daily drinking status in Tasmania for those aged 14 years and over was reported by 5.6 per cent and weekly drinking at 37.1 per cent, compared to the national averages of 5.9 per cent and 35.8 per cent respectively. </w:t>
      </w:r>
    </w:p>
    <w:p w14:paraId="082D931F" w14:textId="77777777" w:rsidR="00F628F2" w:rsidRPr="00093C97" w:rsidRDefault="002D610F" w:rsidP="00783ACD">
      <w:pPr>
        <w:pStyle w:val="BulletedListLevel1"/>
        <w:keepLines w:val="0"/>
        <w:widowControl w:val="0"/>
        <w:spacing w:line="240" w:lineRule="auto"/>
        <w:rPr>
          <w:sz w:val="22"/>
          <w:szCs w:val="22"/>
        </w:rPr>
      </w:pPr>
      <w:r w:rsidRPr="00093C97">
        <w:rPr>
          <w:sz w:val="22"/>
          <w:szCs w:val="22"/>
        </w:rPr>
        <w:t xml:space="preserve">The rate of single occasion risky drinking (more than 4 standard drinks at least once a week) was </w:t>
      </w:r>
      <w:r w:rsidR="00F628F2" w:rsidRPr="00093C97">
        <w:rPr>
          <w:sz w:val="22"/>
          <w:szCs w:val="22"/>
        </w:rPr>
        <w:t>14.4</w:t>
      </w:r>
      <w:r w:rsidRPr="00093C97">
        <w:rPr>
          <w:sz w:val="22"/>
          <w:szCs w:val="22"/>
        </w:rPr>
        <w:t xml:space="preserve"> per cent</w:t>
      </w:r>
      <w:r w:rsidR="00F628F2" w:rsidRPr="00093C97">
        <w:rPr>
          <w:sz w:val="22"/>
          <w:szCs w:val="22"/>
        </w:rPr>
        <w:t xml:space="preserve"> (down slightly from 16.1 per cent in 2016)</w:t>
      </w:r>
      <w:r w:rsidRPr="00093C97">
        <w:rPr>
          <w:sz w:val="22"/>
          <w:szCs w:val="22"/>
        </w:rPr>
        <w:t xml:space="preserve">. </w:t>
      </w:r>
    </w:p>
    <w:p w14:paraId="5771B2B3" w14:textId="77777777" w:rsidR="00F628F2" w:rsidRPr="00093C97" w:rsidRDefault="00F628F2" w:rsidP="00783ACD">
      <w:pPr>
        <w:pStyle w:val="BulletedListLevel1"/>
        <w:keepLines w:val="0"/>
        <w:widowControl w:val="0"/>
        <w:spacing w:line="240" w:lineRule="auto"/>
        <w:rPr>
          <w:sz w:val="22"/>
          <w:szCs w:val="22"/>
        </w:rPr>
      </w:pPr>
      <w:r w:rsidRPr="00093C97">
        <w:rPr>
          <w:sz w:val="22"/>
          <w:szCs w:val="22"/>
        </w:rPr>
        <w:t>Across all jurisdictions, people in their 20s were more likely to drink 5 or more standard drinks at least once a month, ranging from 33 per cent in the Australian Capital Territory to 53 per cent in Tasmania.  This compares to the national average of 39.9 per cent.</w:t>
      </w:r>
    </w:p>
    <w:p w14:paraId="3FE15DD6" w14:textId="77777777" w:rsidR="00F628F2" w:rsidRPr="00093C97" w:rsidRDefault="00F628F2" w:rsidP="00783ACD">
      <w:pPr>
        <w:pStyle w:val="BulletedListLevel1"/>
        <w:keepLines w:val="0"/>
        <w:widowControl w:val="0"/>
        <w:spacing w:line="240" w:lineRule="auto"/>
        <w:rPr>
          <w:sz w:val="22"/>
          <w:szCs w:val="22"/>
        </w:rPr>
      </w:pPr>
      <w:r w:rsidRPr="00093C97">
        <w:rPr>
          <w:sz w:val="22"/>
          <w:szCs w:val="22"/>
        </w:rPr>
        <w:t>Use of any illicit drug</w:t>
      </w:r>
      <w:r w:rsidRPr="00093C97">
        <w:rPr>
          <w:rStyle w:val="FootnoteReference"/>
          <w:sz w:val="22"/>
          <w:szCs w:val="22"/>
        </w:rPr>
        <w:footnoteReference w:id="3"/>
      </w:r>
      <w:r w:rsidRPr="00093C97">
        <w:rPr>
          <w:sz w:val="22"/>
          <w:szCs w:val="22"/>
        </w:rPr>
        <w:t xml:space="preserve"> increased in Tasmania from 12.0 per cent in 2010 and15.1 per cent in 2013 to 17.4 per cent in 2016.  This is now higher than the national average of 15.6 per cent, and the second highest of all states and territories after the Northern Territory (21.6 per cent).</w:t>
      </w:r>
    </w:p>
    <w:p w14:paraId="43D9A84B" w14:textId="77777777" w:rsidR="00F628F2" w:rsidRPr="00093C97" w:rsidRDefault="00F628F2" w:rsidP="00783ACD">
      <w:pPr>
        <w:pStyle w:val="BulletedListLevel1"/>
        <w:keepLines w:val="0"/>
        <w:widowControl w:val="0"/>
        <w:spacing w:line="240" w:lineRule="auto"/>
        <w:rPr>
          <w:sz w:val="22"/>
          <w:szCs w:val="22"/>
        </w:rPr>
      </w:pPr>
      <w:r w:rsidRPr="00093C97">
        <w:rPr>
          <w:sz w:val="22"/>
          <w:szCs w:val="22"/>
        </w:rPr>
        <w:t>Cannabis at 12.4 per cent is the illicit drug most commonly used, followed by any pharmaceutical (excluding OTC</w:t>
      </w:r>
      <w:r w:rsidRPr="00093C97">
        <w:rPr>
          <w:rStyle w:val="FootnoteReference"/>
          <w:sz w:val="22"/>
          <w:szCs w:val="22"/>
        </w:rPr>
        <w:footnoteReference w:id="4"/>
      </w:r>
      <w:r w:rsidRPr="00093C97">
        <w:rPr>
          <w:sz w:val="22"/>
          <w:szCs w:val="22"/>
        </w:rPr>
        <w:t>) at 5.6 per cent.  Of the pharmaceuticals, pain-killers/analgesics and opioids (excluding OTC) for non-medical purposes were the most commonly reported at 3.3 per cent, followed by tranquillisers/sleeping pills at 2.9 per cent.</w:t>
      </w:r>
    </w:p>
    <w:p w14:paraId="101A1F03" w14:textId="77777777" w:rsidR="00F628F2" w:rsidRPr="00093C97" w:rsidRDefault="00F628F2" w:rsidP="00783ACD">
      <w:pPr>
        <w:pStyle w:val="BulletedListLevel1"/>
        <w:keepLines w:val="0"/>
        <w:widowControl w:val="0"/>
        <w:spacing w:line="240" w:lineRule="auto"/>
        <w:rPr>
          <w:sz w:val="22"/>
          <w:szCs w:val="22"/>
        </w:rPr>
      </w:pPr>
      <w:r w:rsidRPr="00093C97">
        <w:rPr>
          <w:sz w:val="22"/>
          <w:szCs w:val="22"/>
        </w:rPr>
        <w:t xml:space="preserve">Across all jurisdictions, people aged 20–29 were the most likely to use an illicit drug in the past 12 months. People living in Tasmania and Queensland had the highest proportion of </w:t>
      </w:r>
      <w:r w:rsidRPr="00093C97">
        <w:rPr>
          <w:sz w:val="22"/>
          <w:szCs w:val="22"/>
        </w:rPr>
        <w:lastRenderedPageBreak/>
        <w:t>people in their 20s who had recently used an illicit drug (33 per cent for both) while people in the Australian Capital Territory had the lowest (22 per cent).</w:t>
      </w:r>
    </w:p>
    <w:p w14:paraId="552480CB" w14:textId="77777777" w:rsidR="00F628F2" w:rsidRPr="00093C97" w:rsidRDefault="00F628F2" w:rsidP="00783ACD">
      <w:pPr>
        <w:pStyle w:val="BulletedListLevel1"/>
        <w:keepLines w:val="0"/>
        <w:widowControl w:val="0"/>
        <w:spacing w:line="240" w:lineRule="auto"/>
        <w:rPr>
          <w:sz w:val="22"/>
          <w:szCs w:val="22"/>
        </w:rPr>
      </w:pPr>
      <w:r w:rsidRPr="00093C97">
        <w:rPr>
          <w:sz w:val="22"/>
          <w:szCs w:val="22"/>
        </w:rPr>
        <w:t xml:space="preserve">Across all jurisdictions, there were very few significant changes by age group except for people aged 60 or older living in Tasmania, which increased considerably from 3.7 per cent in 2013 to 10.1 per cent in 2016. </w:t>
      </w:r>
    </w:p>
    <w:p w14:paraId="746DC941" w14:textId="77777777" w:rsidR="00F628F2" w:rsidRPr="00093C97" w:rsidRDefault="00F628F2" w:rsidP="00783ACD">
      <w:pPr>
        <w:pStyle w:val="BulletedListLevel1"/>
        <w:keepLines w:val="0"/>
        <w:widowControl w:val="0"/>
        <w:spacing w:line="240" w:lineRule="auto"/>
        <w:rPr>
          <w:sz w:val="22"/>
          <w:szCs w:val="22"/>
        </w:rPr>
      </w:pPr>
      <w:r w:rsidRPr="00093C97">
        <w:rPr>
          <w:sz w:val="22"/>
          <w:szCs w:val="22"/>
        </w:rPr>
        <w:t xml:space="preserve">Nationally, recent use (i.e. in the previous 12 months) of meth/amphetamines declined significantly between 2013 and 2016 – from 2.1 per cent to 1.4 per cent.  The decline was the most significant in New South Wales from 1.4 per cent to 0.7 per cent. </w:t>
      </w:r>
    </w:p>
    <w:p w14:paraId="32CEB6D4" w14:textId="77777777" w:rsidR="00F628F2" w:rsidRPr="00093C97" w:rsidRDefault="00F628F2" w:rsidP="00783ACD">
      <w:pPr>
        <w:pStyle w:val="BulletedListLevel1"/>
        <w:keepLines w:val="0"/>
        <w:widowControl w:val="0"/>
        <w:spacing w:line="240" w:lineRule="auto"/>
        <w:rPr>
          <w:sz w:val="22"/>
          <w:szCs w:val="22"/>
        </w:rPr>
      </w:pPr>
      <w:r w:rsidRPr="00093C97">
        <w:rPr>
          <w:sz w:val="22"/>
          <w:szCs w:val="22"/>
        </w:rPr>
        <w:t>People living in Western Australia (2.7 per cent), Tasmania</w:t>
      </w:r>
      <w:r w:rsidRPr="00093C97">
        <w:rPr>
          <w:rStyle w:val="FootnoteReference"/>
          <w:sz w:val="22"/>
          <w:szCs w:val="22"/>
        </w:rPr>
        <w:footnoteReference w:id="5"/>
      </w:r>
      <w:r w:rsidRPr="00093C97">
        <w:rPr>
          <w:sz w:val="22"/>
          <w:szCs w:val="22"/>
        </w:rPr>
        <w:t xml:space="preserve"> (2.1 per cent) and South Australia (1.9 per cent) all reported higher rates than the national average of 1.4 per cent.</w:t>
      </w:r>
    </w:p>
    <w:p w14:paraId="3F48B25D" w14:textId="77777777" w:rsidR="001F6836" w:rsidRPr="00093C97" w:rsidRDefault="001F6836" w:rsidP="00783ACD">
      <w:pPr>
        <w:pStyle w:val="BulletedListLevel1"/>
        <w:keepLines w:val="0"/>
        <w:widowControl w:val="0"/>
        <w:spacing w:line="240" w:lineRule="auto"/>
        <w:ind w:hanging="709"/>
        <w:rPr>
          <w:sz w:val="22"/>
          <w:szCs w:val="22"/>
        </w:rPr>
      </w:pPr>
      <w:r w:rsidRPr="00093C97">
        <w:rPr>
          <w:sz w:val="22"/>
          <w:szCs w:val="22"/>
        </w:rPr>
        <w:t>The table below summarises self-reported tobacco, alcohol and illicit drug use for Tasmania from the 2016 NDSHS, by Statistical Area Level.</w:t>
      </w:r>
    </w:p>
    <w:tbl>
      <w:tblPr>
        <w:tblW w:w="5297" w:type="pct"/>
        <w:tblInd w:w="-34" w:type="dxa"/>
        <w:tblLook w:val="04A0" w:firstRow="1" w:lastRow="0" w:firstColumn="1" w:lastColumn="0" w:noHBand="0" w:noVBand="1"/>
      </w:tblPr>
      <w:tblGrid>
        <w:gridCol w:w="96"/>
        <w:gridCol w:w="664"/>
        <w:gridCol w:w="873"/>
        <w:gridCol w:w="873"/>
        <w:gridCol w:w="873"/>
        <w:gridCol w:w="950"/>
        <w:gridCol w:w="845"/>
        <w:gridCol w:w="845"/>
        <w:gridCol w:w="900"/>
        <w:gridCol w:w="900"/>
        <w:gridCol w:w="900"/>
        <w:gridCol w:w="762"/>
        <w:gridCol w:w="94"/>
      </w:tblGrid>
      <w:tr w:rsidR="00965ADF" w:rsidRPr="00093C97" w14:paraId="14C57647" w14:textId="77777777" w:rsidTr="00093C97">
        <w:trPr>
          <w:trHeight w:val="979"/>
          <w:tblHeader/>
        </w:trPr>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6EE0" w14:textId="77777777"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SAL</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7AC2C3E" w14:textId="2683AF5B" w:rsidR="00093C97" w:rsidRDefault="00093C97" w:rsidP="00783ACD">
            <w:pPr>
              <w:widowControl w:val="0"/>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Smoking Status</w:t>
            </w:r>
          </w:p>
          <w:p w14:paraId="51047A3D" w14:textId="7E3CA5A8"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Daily</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1566402B" w14:textId="52088D64" w:rsidR="00093C97" w:rsidRDefault="00093C97" w:rsidP="00783ACD">
            <w:pPr>
              <w:widowControl w:val="0"/>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Smoking Status</w:t>
            </w:r>
          </w:p>
          <w:p w14:paraId="33D26189" w14:textId="38F4762C"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Ex-</w:t>
            </w:r>
            <w:proofErr w:type="spellStart"/>
            <w:r w:rsidRPr="00093C97">
              <w:rPr>
                <w:rFonts w:ascii="Gill Sans MT" w:hAnsi="Gill Sans MT" w:cs="Arial"/>
                <w:b/>
                <w:bCs/>
                <w:color w:val="000000"/>
                <w:sz w:val="16"/>
                <w:szCs w:val="16"/>
              </w:rPr>
              <w:t>smoker</w:t>
            </w:r>
            <w:r w:rsidRPr="00093C97">
              <w:rPr>
                <w:rFonts w:ascii="Gill Sans MT" w:hAnsi="Gill Sans MT" w:cs="Arial"/>
                <w:b/>
                <w:bCs/>
                <w:color w:val="000000"/>
                <w:sz w:val="16"/>
                <w:szCs w:val="16"/>
                <w:vertAlign w:val="superscript"/>
              </w:rPr>
              <w:t>c</w:t>
            </w:r>
            <w:proofErr w:type="spellEnd"/>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05898AD8" w14:textId="045A6393" w:rsidR="00093C97" w:rsidRDefault="00093C97" w:rsidP="00783ACD">
            <w:pPr>
              <w:widowControl w:val="0"/>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Smoking Status</w:t>
            </w:r>
          </w:p>
          <w:p w14:paraId="28F48369" w14:textId="2D252858"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 xml:space="preserve">Never </w:t>
            </w:r>
            <w:proofErr w:type="spellStart"/>
            <w:r w:rsidRPr="00093C97">
              <w:rPr>
                <w:rFonts w:ascii="Gill Sans MT" w:hAnsi="Gill Sans MT" w:cs="Arial"/>
                <w:b/>
                <w:bCs/>
                <w:color w:val="000000"/>
                <w:sz w:val="16"/>
                <w:szCs w:val="16"/>
              </w:rPr>
              <w:t>smoked</w:t>
            </w:r>
            <w:r w:rsidRPr="00093C97">
              <w:rPr>
                <w:rFonts w:ascii="Gill Sans MT" w:hAnsi="Gill Sans MT" w:cs="Arial"/>
                <w:b/>
                <w:bCs/>
                <w:color w:val="000000"/>
                <w:sz w:val="16"/>
                <w:szCs w:val="16"/>
                <w:vertAlign w:val="superscript"/>
              </w:rPr>
              <w:t>d</w:t>
            </w:r>
            <w:proofErr w:type="spellEnd"/>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20406461" w14:textId="4A639512" w:rsidR="00093C97" w:rsidRDefault="00093C97" w:rsidP="00783ACD">
            <w:pPr>
              <w:widowControl w:val="0"/>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4762274A" w14:textId="1AAAA9CA"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Abstainer</w:t>
            </w:r>
          </w:p>
          <w:p w14:paraId="1B8A1B0D" w14:textId="77777777"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/ex-</w:t>
            </w:r>
            <w:proofErr w:type="spellStart"/>
            <w:r w:rsidRPr="00093C97">
              <w:rPr>
                <w:rFonts w:ascii="Gill Sans MT" w:hAnsi="Gill Sans MT" w:cs="Arial"/>
                <w:b/>
                <w:bCs/>
                <w:color w:val="000000"/>
                <w:sz w:val="16"/>
                <w:szCs w:val="16"/>
              </w:rPr>
              <w:t>drinkers</w:t>
            </w:r>
            <w:r w:rsidRPr="00093C97">
              <w:rPr>
                <w:rFonts w:ascii="Gill Sans MT" w:hAnsi="Gill Sans MT" w:cs="Arial"/>
                <w:b/>
                <w:bCs/>
                <w:color w:val="000000"/>
                <w:sz w:val="16"/>
                <w:szCs w:val="16"/>
                <w:vertAlign w:val="superscript"/>
              </w:rPr>
              <w:t>e</w:t>
            </w:r>
            <w:proofErr w:type="spellEnd"/>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FAE0FDD" w14:textId="04DCFA91" w:rsidR="00093C97" w:rsidRDefault="00093C97" w:rsidP="00783ACD">
            <w:pPr>
              <w:widowControl w:val="0"/>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1C3C7B0C" w14:textId="63214DAF"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 xml:space="preserve">Lifetime risk: Low </w:t>
            </w:r>
            <w:proofErr w:type="spellStart"/>
            <w:r w:rsidRPr="00093C97">
              <w:rPr>
                <w:rFonts w:ascii="Gill Sans MT" w:hAnsi="Gill Sans MT" w:cs="Arial"/>
                <w:b/>
                <w:bCs/>
                <w:color w:val="000000"/>
                <w:sz w:val="16"/>
                <w:szCs w:val="16"/>
              </w:rPr>
              <w:t>risk</w:t>
            </w:r>
            <w:r w:rsidRPr="00093C97">
              <w:rPr>
                <w:rFonts w:ascii="Gill Sans MT" w:hAnsi="Gill Sans MT" w:cs="Arial"/>
                <w:b/>
                <w:bCs/>
                <w:color w:val="000000"/>
                <w:sz w:val="16"/>
                <w:szCs w:val="16"/>
                <w:vertAlign w:val="superscript"/>
              </w:rPr>
              <w:t>f</w:t>
            </w:r>
            <w:proofErr w:type="spellEnd"/>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1106124E" w14:textId="6A0A8E14" w:rsidR="00093C97" w:rsidRDefault="00093C97" w:rsidP="00783ACD">
            <w:pPr>
              <w:widowControl w:val="0"/>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57492D1C" w14:textId="2C854DCA"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 xml:space="preserve">Lifetime risk: </w:t>
            </w:r>
            <w:proofErr w:type="spellStart"/>
            <w:r w:rsidRPr="00093C97">
              <w:rPr>
                <w:rFonts w:ascii="Gill Sans MT" w:hAnsi="Gill Sans MT" w:cs="Arial"/>
                <w:b/>
                <w:bCs/>
                <w:color w:val="000000"/>
                <w:sz w:val="16"/>
                <w:szCs w:val="16"/>
              </w:rPr>
              <w:t>Risky</w:t>
            </w:r>
            <w:r w:rsidRPr="00093C97">
              <w:rPr>
                <w:rFonts w:ascii="Gill Sans MT" w:hAnsi="Gill Sans MT" w:cs="Arial"/>
                <w:b/>
                <w:bCs/>
                <w:color w:val="000000"/>
                <w:sz w:val="16"/>
                <w:szCs w:val="16"/>
                <w:vertAlign w:val="superscript"/>
              </w:rPr>
              <w:t>g</w:t>
            </w:r>
            <w:proofErr w:type="spellEnd"/>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F4F699C" w14:textId="15762E3F" w:rsidR="00093C97" w:rsidRDefault="00093C97" w:rsidP="00783ACD">
            <w:pPr>
              <w:widowControl w:val="0"/>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2D547C64" w14:textId="31F9982B"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 xml:space="preserve">Single occasion: Low </w:t>
            </w:r>
            <w:proofErr w:type="spellStart"/>
            <w:r w:rsidRPr="00093C97">
              <w:rPr>
                <w:rFonts w:ascii="Gill Sans MT" w:hAnsi="Gill Sans MT" w:cs="Arial"/>
                <w:b/>
                <w:bCs/>
                <w:color w:val="000000"/>
                <w:sz w:val="16"/>
                <w:szCs w:val="16"/>
              </w:rPr>
              <w:t>risk</w:t>
            </w:r>
            <w:r w:rsidRPr="00093C97">
              <w:rPr>
                <w:rFonts w:ascii="Gill Sans MT" w:hAnsi="Gill Sans MT" w:cs="Arial"/>
                <w:b/>
                <w:bCs/>
                <w:color w:val="000000"/>
                <w:sz w:val="16"/>
                <w:szCs w:val="16"/>
                <w:vertAlign w:val="superscript"/>
              </w:rPr>
              <w:t>h</w:t>
            </w:r>
            <w:proofErr w:type="spellEnd"/>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920DDBB" w14:textId="7AC38938" w:rsidR="00093C97" w:rsidRDefault="00093C97" w:rsidP="00783ACD">
            <w:pPr>
              <w:widowControl w:val="0"/>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1D34CD6A" w14:textId="71D8E6F3"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 xml:space="preserve">Single occasion: At least yearly but not </w:t>
            </w:r>
            <w:proofErr w:type="spellStart"/>
            <w:r w:rsidRPr="00093C97">
              <w:rPr>
                <w:rFonts w:ascii="Gill Sans MT" w:hAnsi="Gill Sans MT" w:cs="Arial"/>
                <w:b/>
                <w:bCs/>
                <w:color w:val="000000"/>
                <w:sz w:val="16"/>
                <w:szCs w:val="16"/>
              </w:rPr>
              <w:t>monthly</w:t>
            </w:r>
            <w:r w:rsidRPr="00093C97">
              <w:rPr>
                <w:rFonts w:ascii="Gill Sans MT" w:hAnsi="Gill Sans MT" w:cs="Arial"/>
                <w:b/>
                <w:bCs/>
                <w:color w:val="000000"/>
                <w:sz w:val="16"/>
                <w:szCs w:val="16"/>
                <w:vertAlign w:val="superscript"/>
              </w:rPr>
              <w:t>i</w:t>
            </w:r>
            <w:proofErr w:type="spellEnd"/>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56AB19C" w14:textId="7791D539" w:rsidR="00093C97" w:rsidRDefault="00093C97" w:rsidP="00783ACD">
            <w:pPr>
              <w:widowControl w:val="0"/>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0DB9211F" w14:textId="3A74298C"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 xml:space="preserve">Single occasion: At least </w:t>
            </w:r>
            <w:proofErr w:type="spellStart"/>
            <w:r w:rsidRPr="00093C97">
              <w:rPr>
                <w:rFonts w:ascii="Gill Sans MT" w:hAnsi="Gill Sans MT" w:cs="Arial"/>
                <w:b/>
                <w:bCs/>
                <w:color w:val="000000"/>
                <w:sz w:val="16"/>
                <w:szCs w:val="16"/>
              </w:rPr>
              <w:t>monthly</w:t>
            </w:r>
            <w:r w:rsidRPr="00093C97">
              <w:rPr>
                <w:rFonts w:ascii="Gill Sans MT" w:hAnsi="Gill Sans MT" w:cs="Arial"/>
                <w:b/>
                <w:bCs/>
                <w:color w:val="000000"/>
                <w:sz w:val="16"/>
                <w:szCs w:val="16"/>
                <w:vertAlign w:val="superscript"/>
              </w:rPr>
              <w:t>j</w:t>
            </w:r>
            <w:proofErr w:type="spellEnd"/>
          </w:p>
        </w:tc>
        <w:tc>
          <w:tcPr>
            <w:tcW w:w="447" w:type="pct"/>
            <w:gridSpan w:val="2"/>
            <w:tcBorders>
              <w:top w:val="single" w:sz="4" w:space="0" w:color="auto"/>
              <w:left w:val="nil"/>
              <w:bottom w:val="single" w:sz="4" w:space="0" w:color="auto"/>
              <w:right w:val="single" w:sz="4" w:space="0" w:color="auto"/>
            </w:tcBorders>
            <w:shd w:val="clear" w:color="auto" w:fill="auto"/>
            <w:vAlign w:val="center"/>
            <w:hideMark/>
          </w:tcPr>
          <w:p w14:paraId="1D3B37E8" w14:textId="77777777" w:rsidR="00093C97" w:rsidRPr="00093C97" w:rsidRDefault="00093C97" w:rsidP="00093C97">
            <w:pPr>
              <w:widowControl w:val="0"/>
              <w:spacing w:after="140" w:line="240" w:lineRule="auto"/>
              <w:jc w:val="center"/>
              <w:rPr>
                <w:rFonts w:ascii="Gill Sans MT" w:hAnsi="Gill Sans MT" w:cs="Arial"/>
                <w:b/>
                <w:bCs/>
                <w:color w:val="000000"/>
                <w:sz w:val="16"/>
                <w:szCs w:val="16"/>
              </w:rPr>
            </w:pPr>
            <w:r w:rsidRPr="00093C97">
              <w:rPr>
                <w:rFonts w:ascii="Gill Sans MT" w:hAnsi="Gill Sans MT" w:cs="Arial"/>
                <w:b/>
                <w:bCs/>
                <w:color w:val="000000"/>
                <w:sz w:val="16"/>
                <w:szCs w:val="16"/>
              </w:rPr>
              <w:t xml:space="preserve">Illicit </w:t>
            </w:r>
          </w:p>
          <w:p w14:paraId="38BBF1E2" w14:textId="03DC79BB" w:rsidR="00093C97" w:rsidRDefault="00093C97" w:rsidP="00093C97">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drug use</w:t>
            </w:r>
          </w:p>
          <w:p w14:paraId="12384BED" w14:textId="555854D9" w:rsidR="001F6836" w:rsidRPr="00093C97" w:rsidRDefault="001F6836" w:rsidP="00783ACD">
            <w:pPr>
              <w:widowControl w:val="0"/>
              <w:spacing w:after="140" w:line="240" w:lineRule="auto"/>
              <w:rPr>
                <w:rFonts w:ascii="Gill Sans MT" w:hAnsi="Gill Sans MT" w:cs="Arial"/>
                <w:b/>
                <w:bCs/>
                <w:color w:val="000000"/>
                <w:sz w:val="16"/>
                <w:szCs w:val="16"/>
              </w:rPr>
            </w:pPr>
            <w:r w:rsidRPr="00093C97">
              <w:rPr>
                <w:rFonts w:ascii="Gill Sans MT" w:hAnsi="Gill Sans MT" w:cs="Arial"/>
                <w:b/>
                <w:bCs/>
                <w:color w:val="000000"/>
                <w:sz w:val="16"/>
                <w:szCs w:val="16"/>
              </w:rPr>
              <w:t xml:space="preserve">Recent </w:t>
            </w:r>
            <w:proofErr w:type="spellStart"/>
            <w:r w:rsidRPr="00093C97">
              <w:rPr>
                <w:rFonts w:ascii="Gill Sans MT" w:hAnsi="Gill Sans MT" w:cs="Arial"/>
                <w:b/>
                <w:bCs/>
                <w:color w:val="000000"/>
                <w:sz w:val="16"/>
                <w:szCs w:val="16"/>
              </w:rPr>
              <w:t>illicit</w:t>
            </w:r>
            <w:r w:rsidRPr="00093C97">
              <w:rPr>
                <w:rFonts w:ascii="Gill Sans MT" w:hAnsi="Gill Sans MT" w:cs="Arial"/>
                <w:b/>
                <w:bCs/>
                <w:color w:val="000000"/>
                <w:sz w:val="16"/>
                <w:szCs w:val="16"/>
                <w:vertAlign w:val="superscript"/>
              </w:rPr>
              <w:t>k</w:t>
            </w:r>
            <w:proofErr w:type="spellEnd"/>
          </w:p>
        </w:tc>
      </w:tr>
      <w:tr w:rsidR="00965ADF" w:rsidRPr="00093C97" w14:paraId="5DEE01F5" w14:textId="77777777" w:rsidTr="00093C97">
        <w:trPr>
          <w:trHeight w:val="240"/>
          <w:tblHeader/>
        </w:trPr>
        <w:tc>
          <w:tcPr>
            <w:tcW w:w="397" w:type="pct"/>
            <w:gridSpan w:val="2"/>
            <w:tcBorders>
              <w:top w:val="nil"/>
              <w:left w:val="single" w:sz="4" w:space="0" w:color="auto"/>
              <w:bottom w:val="single" w:sz="4" w:space="0" w:color="auto"/>
              <w:right w:val="single" w:sz="4" w:space="0" w:color="auto"/>
            </w:tcBorders>
            <w:shd w:val="clear" w:color="auto" w:fill="auto"/>
            <w:noWrap/>
            <w:vAlign w:val="center"/>
            <w:hideMark/>
          </w:tcPr>
          <w:p w14:paraId="76573797" w14:textId="77777777" w:rsidR="001F6836" w:rsidRPr="00093C97" w:rsidRDefault="001F6836" w:rsidP="00783ACD">
            <w:pPr>
              <w:widowControl w:val="0"/>
              <w:spacing w:after="140" w:line="240" w:lineRule="auto"/>
              <w:rPr>
                <w:rFonts w:ascii="Gill Sans MT" w:hAnsi="Gill Sans MT" w:cs="Arial"/>
                <w:b/>
                <w:color w:val="000000"/>
                <w:sz w:val="16"/>
                <w:szCs w:val="16"/>
              </w:rPr>
            </w:pPr>
            <w:r w:rsidRPr="00093C97">
              <w:rPr>
                <w:rFonts w:ascii="Gill Sans MT" w:hAnsi="Gill Sans MT" w:cs="Arial"/>
                <w:b/>
                <w:color w:val="000000"/>
                <w:sz w:val="16"/>
                <w:szCs w:val="16"/>
              </w:rPr>
              <w:t>Hobart</w:t>
            </w:r>
          </w:p>
          <w:p w14:paraId="0AFC85BC" w14:textId="77777777" w:rsidR="001F6836" w:rsidRPr="00093C97" w:rsidRDefault="001F6836" w:rsidP="00783ACD">
            <w:pPr>
              <w:widowControl w:val="0"/>
              <w:spacing w:after="140" w:line="240" w:lineRule="auto"/>
              <w:rPr>
                <w:rFonts w:ascii="Gill Sans MT" w:hAnsi="Gill Sans MT" w:cs="Arial"/>
                <w:b/>
                <w:color w:val="000000"/>
                <w:sz w:val="16"/>
                <w:szCs w:val="16"/>
              </w:rPr>
            </w:pPr>
            <w:r w:rsidRPr="00093C97">
              <w:rPr>
                <w:rFonts w:ascii="Gill Sans MT" w:hAnsi="Gill Sans MT" w:cs="Arial"/>
                <w:b/>
                <w:color w:val="000000"/>
                <w:sz w:val="16"/>
                <w:szCs w:val="16"/>
              </w:rPr>
              <w:t>(601)</w:t>
            </w:r>
          </w:p>
        </w:tc>
        <w:tc>
          <w:tcPr>
            <w:tcW w:w="456" w:type="pct"/>
            <w:tcBorders>
              <w:top w:val="nil"/>
              <w:left w:val="nil"/>
              <w:bottom w:val="single" w:sz="4" w:space="0" w:color="auto"/>
              <w:right w:val="single" w:sz="4" w:space="0" w:color="auto"/>
            </w:tcBorders>
            <w:shd w:val="clear" w:color="auto" w:fill="auto"/>
            <w:noWrap/>
            <w:vAlign w:val="center"/>
            <w:hideMark/>
          </w:tcPr>
          <w:p w14:paraId="14A323BD"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11.7</w:t>
            </w:r>
          </w:p>
        </w:tc>
        <w:tc>
          <w:tcPr>
            <w:tcW w:w="456" w:type="pct"/>
            <w:tcBorders>
              <w:top w:val="nil"/>
              <w:left w:val="nil"/>
              <w:bottom w:val="single" w:sz="4" w:space="0" w:color="auto"/>
              <w:right w:val="single" w:sz="4" w:space="0" w:color="auto"/>
            </w:tcBorders>
            <w:shd w:val="clear" w:color="auto" w:fill="auto"/>
            <w:noWrap/>
            <w:vAlign w:val="center"/>
            <w:hideMark/>
          </w:tcPr>
          <w:p w14:paraId="519EC41A"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25.1</w:t>
            </w:r>
          </w:p>
        </w:tc>
        <w:tc>
          <w:tcPr>
            <w:tcW w:w="456" w:type="pct"/>
            <w:tcBorders>
              <w:top w:val="nil"/>
              <w:left w:val="nil"/>
              <w:bottom w:val="single" w:sz="4" w:space="0" w:color="auto"/>
              <w:right w:val="single" w:sz="4" w:space="0" w:color="auto"/>
            </w:tcBorders>
            <w:shd w:val="clear" w:color="auto" w:fill="auto"/>
            <w:noWrap/>
            <w:vAlign w:val="center"/>
            <w:hideMark/>
          </w:tcPr>
          <w:p w14:paraId="52D60D5C"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58.8</w:t>
            </w:r>
          </w:p>
        </w:tc>
        <w:tc>
          <w:tcPr>
            <w:tcW w:w="496" w:type="pct"/>
            <w:tcBorders>
              <w:top w:val="nil"/>
              <w:left w:val="nil"/>
              <w:bottom w:val="single" w:sz="4" w:space="0" w:color="auto"/>
              <w:right w:val="single" w:sz="4" w:space="0" w:color="auto"/>
            </w:tcBorders>
            <w:shd w:val="clear" w:color="auto" w:fill="auto"/>
            <w:noWrap/>
            <w:vAlign w:val="center"/>
            <w:hideMark/>
          </w:tcPr>
          <w:p w14:paraId="78CB5C2F"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15.5</w:t>
            </w:r>
          </w:p>
        </w:tc>
        <w:tc>
          <w:tcPr>
            <w:tcW w:w="441" w:type="pct"/>
            <w:tcBorders>
              <w:top w:val="nil"/>
              <w:left w:val="nil"/>
              <w:bottom w:val="single" w:sz="4" w:space="0" w:color="auto"/>
              <w:right w:val="single" w:sz="4" w:space="0" w:color="auto"/>
            </w:tcBorders>
            <w:shd w:val="clear" w:color="auto" w:fill="auto"/>
            <w:noWrap/>
            <w:vAlign w:val="center"/>
            <w:hideMark/>
          </w:tcPr>
          <w:p w14:paraId="2C9C6824"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64.2</w:t>
            </w:r>
          </w:p>
        </w:tc>
        <w:tc>
          <w:tcPr>
            <w:tcW w:w="441" w:type="pct"/>
            <w:tcBorders>
              <w:top w:val="nil"/>
              <w:left w:val="nil"/>
              <w:bottom w:val="single" w:sz="4" w:space="0" w:color="auto"/>
              <w:right w:val="single" w:sz="4" w:space="0" w:color="auto"/>
            </w:tcBorders>
            <w:shd w:val="clear" w:color="auto" w:fill="auto"/>
            <w:noWrap/>
            <w:vAlign w:val="center"/>
            <w:hideMark/>
          </w:tcPr>
          <w:p w14:paraId="07540AAB"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20.3</w:t>
            </w:r>
          </w:p>
        </w:tc>
        <w:tc>
          <w:tcPr>
            <w:tcW w:w="470" w:type="pct"/>
            <w:tcBorders>
              <w:top w:val="nil"/>
              <w:left w:val="nil"/>
              <w:bottom w:val="single" w:sz="4" w:space="0" w:color="auto"/>
              <w:right w:val="single" w:sz="4" w:space="0" w:color="auto"/>
            </w:tcBorders>
            <w:shd w:val="clear" w:color="auto" w:fill="auto"/>
            <w:noWrap/>
            <w:vAlign w:val="center"/>
            <w:hideMark/>
          </w:tcPr>
          <w:p w14:paraId="3E29F094"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39.3</w:t>
            </w:r>
          </w:p>
        </w:tc>
        <w:tc>
          <w:tcPr>
            <w:tcW w:w="470" w:type="pct"/>
            <w:tcBorders>
              <w:top w:val="nil"/>
              <w:left w:val="nil"/>
              <w:bottom w:val="single" w:sz="4" w:space="0" w:color="auto"/>
              <w:right w:val="single" w:sz="4" w:space="0" w:color="auto"/>
            </w:tcBorders>
            <w:shd w:val="clear" w:color="auto" w:fill="auto"/>
            <w:noWrap/>
            <w:vAlign w:val="center"/>
            <w:hideMark/>
          </w:tcPr>
          <w:p w14:paraId="69FF28EB"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18.0</w:t>
            </w:r>
          </w:p>
        </w:tc>
        <w:tc>
          <w:tcPr>
            <w:tcW w:w="470" w:type="pct"/>
            <w:tcBorders>
              <w:top w:val="nil"/>
              <w:left w:val="nil"/>
              <w:bottom w:val="single" w:sz="4" w:space="0" w:color="auto"/>
              <w:right w:val="single" w:sz="4" w:space="0" w:color="auto"/>
            </w:tcBorders>
            <w:shd w:val="clear" w:color="auto" w:fill="auto"/>
            <w:noWrap/>
            <w:vAlign w:val="center"/>
            <w:hideMark/>
          </w:tcPr>
          <w:p w14:paraId="7CD1A053"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27.2</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11009202"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19.2</w:t>
            </w:r>
          </w:p>
        </w:tc>
      </w:tr>
      <w:tr w:rsidR="00965ADF" w:rsidRPr="00093C97" w14:paraId="17B489DD" w14:textId="77777777" w:rsidTr="00093C97">
        <w:trPr>
          <w:trHeight w:val="480"/>
          <w:tblHeader/>
        </w:trPr>
        <w:tc>
          <w:tcPr>
            <w:tcW w:w="397" w:type="pct"/>
            <w:gridSpan w:val="2"/>
            <w:tcBorders>
              <w:top w:val="nil"/>
              <w:left w:val="single" w:sz="4" w:space="0" w:color="auto"/>
              <w:bottom w:val="single" w:sz="4" w:space="0" w:color="auto"/>
              <w:right w:val="single" w:sz="4" w:space="0" w:color="auto"/>
            </w:tcBorders>
            <w:shd w:val="clear" w:color="auto" w:fill="auto"/>
            <w:vAlign w:val="center"/>
            <w:hideMark/>
          </w:tcPr>
          <w:p w14:paraId="0ECE0CCB" w14:textId="77777777" w:rsidR="001F6836" w:rsidRPr="00093C97" w:rsidRDefault="001F6836" w:rsidP="00783ACD">
            <w:pPr>
              <w:widowControl w:val="0"/>
              <w:spacing w:after="140" w:line="240" w:lineRule="auto"/>
              <w:rPr>
                <w:rFonts w:ascii="Gill Sans MT" w:hAnsi="Gill Sans MT" w:cs="Arial"/>
                <w:b/>
                <w:color w:val="000000"/>
                <w:sz w:val="16"/>
                <w:szCs w:val="16"/>
              </w:rPr>
            </w:pPr>
            <w:r w:rsidRPr="00093C97">
              <w:rPr>
                <w:rFonts w:ascii="Gill Sans MT" w:hAnsi="Gill Sans MT" w:cs="Arial"/>
                <w:b/>
                <w:color w:val="000000"/>
                <w:sz w:val="16"/>
                <w:szCs w:val="16"/>
              </w:rPr>
              <w:t>L’ton and North</w:t>
            </w:r>
            <w:r w:rsidRPr="00093C97">
              <w:rPr>
                <w:rFonts w:ascii="Gill Sans MT" w:hAnsi="Gill Sans MT" w:cs="Arial"/>
                <w:b/>
                <w:color w:val="000000"/>
                <w:sz w:val="16"/>
                <w:szCs w:val="16"/>
              </w:rPr>
              <w:br/>
              <w:t>East</w:t>
            </w:r>
          </w:p>
          <w:p w14:paraId="11CD73BB" w14:textId="77777777" w:rsidR="001F6836" w:rsidRPr="00093C97" w:rsidRDefault="001F6836" w:rsidP="00783ACD">
            <w:pPr>
              <w:widowControl w:val="0"/>
              <w:spacing w:after="140" w:line="240" w:lineRule="auto"/>
              <w:rPr>
                <w:rFonts w:ascii="Gill Sans MT" w:hAnsi="Gill Sans MT" w:cs="Arial"/>
                <w:b/>
                <w:color w:val="000000"/>
                <w:sz w:val="16"/>
                <w:szCs w:val="16"/>
              </w:rPr>
            </w:pPr>
            <w:r w:rsidRPr="00093C97">
              <w:rPr>
                <w:rFonts w:ascii="Gill Sans MT" w:hAnsi="Gill Sans MT" w:cs="Arial"/>
                <w:b/>
                <w:color w:val="000000"/>
                <w:sz w:val="16"/>
                <w:szCs w:val="16"/>
              </w:rPr>
              <w:t>(602)</w:t>
            </w:r>
          </w:p>
        </w:tc>
        <w:tc>
          <w:tcPr>
            <w:tcW w:w="456" w:type="pct"/>
            <w:tcBorders>
              <w:top w:val="nil"/>
              <w:left w:val="nil"/>
              <w:bottom w:val="single" w:sz="4" w:space="0" w:color="auto"/>
              <w:right w:val="single" w:sz="4" w:space="0" w:color="auto"/>
            </w:tcBorders>
            <w:shd w:val="clear" w:color="auto" w:fill="auto"/>
            <w:noWrap/>
            <w:vAlign w:val="center"/>
            <w:hideMark/>
          </w:tcPr>
          <w:p w14:paraId="11DD9851"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17.2</w:t>
            </w:r>
          </w:p>
        </w:tc>
        <w:tc>
          <w:tcPr>
            <w:tcW w:w="456" w:type="pct"/>
            <w:tcBorders>
              <w:top w:val="nil"/>
              <w:left w:val="nil"/>
              <w:bottom w:val="single" w:sz="4" w:space="0" w:color="auto"/>
              <w:right w:val="single" w:sz="4" w:space="0" w:color="auto"/>
            </w:tcBorders>
            <w:shd w:val="clear" w:color="auto" w:fill="auto"/>
            <w:noWrap/>
            <w:vAlign w:val="center"/>
            <w:hideMark/>
          </w:tcPr>
          <w:p w14:paraId="7D29048F"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29.7</w:t>
            </w:r>
          </w:p>
        </w:tc>
        <w:tc>
          <w:tcPr>
            <w:tcW w:w="456" w:type="pct"/>
            <w:tcBorders>
              <w:top w:val="nil"/>
              <w:left w:val="nil"/>
              <w:bottom w:val="single" w:sz="4" w:space="0" w:color="auto"/>
              <w:right w:val="single" w:sz="4" w:space="0" w:color="auto"/>
            </w:tcBorders>
            <w:shd w:val="clear" w:color="auto" w:fill="auto"/>
            <w:noWrap/>
            <w:vAlign w:val="center"/>
            <w:hideMark/>
          </w:tcPr>
          <w:p w14:paraId="29A0D770"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51.1</w:t>
            </w:r>
          </w:p>
        </w:tc>
        <w:tc>
          <w:tcPr>
            <w:tcW w:w="496" w:type="pct"/>
            <w:tcBorders>
              <w:top w:val="nil"/>
              <w:left w:val="nil"/>
              <w:bottom w:val="single" w:sz="4" w:space="0" w:color="auto"/>
              <w:right w:val="single" w:sz="4" w:space="0" w:color="auto"/>
            </w:tcBorders>
            <w:shd w:val="clear" w:color="auto" w:fill="auto"/>
            <w:noWrap/>
            <w:vAlign w:val="center"/>
            <w:hideMark/>
          </w:tcPr>
          <w:p w14:paraId="1A75B656"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24.3</w:t>
            </w:r>
          </w:p>
        </w:tc>
        <w:tc>
          <w:tcPr>
            <w:tcW w:w="441" w:type="pct"/>
            <w:tcBorders>
              <w:top w:val="nil"/>
              <w:left w:val="nil"/>
              <w:bottom w:val="single" w:sz="4" w:space="0" w:color="auto"/>
              <w:right w:val="single" w:sz="4" w:space="0" w:color="auto"/>
            </w:tcBorders>
            <w:shd w:val="clear" w:color="auto" w:fill="auto"/>
            <w:noWrap/>
            <w:vAlign w:val="center"/>
            <w:hideMark/>
          </w:tcPr>
          <w:p w14:paraId="30E0C222"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61.6</w:t>
            </w:r>
          </w:p>
        </w:tc>
        <w:tc>
          <w:tcPr>
            <w:tcW w:w="441" w:type="pct"/>
            <w:tcBorders>
              <w:top w:val="nil"/>
              <w:left w:val="nil"/>
              <w:bottom w:val="single" w:sz="4" w:space="0" w:color="auto"/>
              <w:right w:val="single" w:sz="4" w:space="0" w:color="auto"/>
            </w:tcBorders>
            <w:shd w:val="clear" w:color="auto" w:fill="auto"/>
            <w:noWrap/>
            <w:vAlign w:val="center"/>
            <w:hideMark/>
          </w:tcPr>
          <w:p w14:paraId="3984515E"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14.1</w:t>
            </w:r>
          </w:p>
        </w:tc>
        <w:tc>
          <w:tcPr>
            <w:tcW w:w="470" w:type="pct"/>
            <w:tcBorders>
              <w:top w:val="nil"/>
              <w:left w:val="nil"/>
              <w:bottom w:val="single" w:sz="4" w:space="0" w:color="auto"/>
              <w:right w:val="single" w:sz="4" w:space="0" w:color="auto"/>
            </w:tcBorders>
            <w:shd w:val="clear" w:color="auto" w:fill="auto"/>
            <w:noWrap/>
            <w:vAlign w:val="center"/>
            <w:hideMark/>
          </w:tcPr>
          <w:p w14:paraId="243253C6"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38.8</w:t>
            </w:r>
          </w:p>
        </w:tc>
        <w:tc>
          <w:tcPr>
            <w:tcW w:w="470" w:type="pct"/>
            <w:tcBorders>
              <w:top w:val="nil"/>
              <w:left w:val="nil"/>
              <w:bottom w:val="single" w:sz="4" w:space="0" w:color="auto"/>
              <w:right w:val="single" w:sz="4" w:space="0" w:color="auto"/>
            </w:tcBorders>
            <w:shd w:val="clear" w:color="auto" w:fill="auto"/>
            <w:noWrap/>
            <w:vAlign w:val="center"/>
            <w:hideMark/>
          </w:tcPr>
          <w:p w14:paraId="39C4977D"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8.9</w:t>
            </w:r>
          </w:p>
        </w:tc>
        <w:tc>
          <w:tcPr>
            <w:tcW w:w="470" w:type="pct"/>
            <w:tcBorders>
              <w:top w:val="nil"/>
              <w:left w:val="nil"/>
              <w:bottom w:val="single" w:sz="4" w:space="0" w:color="auto"/>
              <w:right w:val="single" w:sz="4" w:space="0" w:color="auto"/>
            </w:tcBorders>
            <w:shd w:val="clear" w:color="auto" w:fill="auto"/>
            <w:noWrap/>
            <w:vAlign w:val="center"/>
            <w:hideMark/>
          </w:tcPr>
          <w:p w14:paraId="45F477F7"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27.9</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4EAB2B9A"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13.9</w:t>
            </w:r>
          </w:p>
        </w:tc>
      </w:tr>
      <w:tr w:rsidR="00965ADF" w:rsidRPr="00093C97" w14:paraId="7EFC9533" w14:textId="77777777" w:rsidTr="00093C97">
        <w:trPr>
          <w:trHeight w:val="480"/>
          <w:tblHeader/>
        </w:trPr>
        <w:tc>
          <w:tcPr>
            <w:tcW w:w="397" w:type="pct"/>
            <w:gridSpan w:val="2"/>
            <w:tcBorders>
              <w:top w:val="nil"/>
              <w:left w:val="single" w:sz="4" w:space="0" w:color="auto"/>
              <w:bottom w:val="single" w:sz="4" w:space="0" w:color="auto"/>
              <w:right w:val="single" w:sz="4" w:space="0" w:color="auto"/>
            </w:tcBorders>
            <w:shd w:val="clear" w:color="auto" w:fill="auto"/>
            <w:vAlign w:val="center"/>
            <w:hideMark/>
          </w:tcPr>
          <w:p w14:paraId="0419B1BD" w14:textId="77777777" w:rsidR="001F6836" w:rsidRPr="00093C97" w:rsidRDefault="001F6836" w:rsidP="00783ACD">
            <w:pPr>
              <w:widowControl w:val="0"/>
              <w:spacing w:after="140" w:line="240" w:lineRule="auto"/>
              <w:rPr>
                <w:rFonts w:ascii="Gill Sans MT" w:hAnsi="Gill Sans MT" w:cs="Arial"/>
                <w:b/>
                <w:color w:val="000000"/>
                <w:sz w:val="16"/>
                <w:szCs w:val="16"/>
              </w:rPr>
            </w:pPr>
            <w:r w:rsidRPr="00093C97">
              <w:rPr>
                <w:rFonts w:ascii="Gill Sans MT" w:hAnsi="Gill Sans MT" w:cs="Arial"/>
                <w:b/>
                <w:color w:val="000000"/>
                <w:sz w:val="16"/>
                <w:szCs w:val="16"/>
              </w:rPr>
              <w:t>West and North</w:t>
            </w:r>
            <w:r w:rsidRPr="00093C97">
              <w:rPr>
                <w:rFonts w:ascii="Gill Sans MT" w:hAnsi="Gill Sans MT" w:cs="Arial"/>
                <w:b/>
                <w:color w:val="000000"/>
                <w:sz w:val="16"/>
                <w:szCs w:val="16"/>
              </w:rPr>
              <w:br/>
              <w:t>West</w:t>
            </w:r>
          </w:p>
          <w:p w14:paraId="68C459F4" w14:textId="77777777" w:rsidR="001F6836" w:rsidRPr="00093C97" w:rsidRDefault="001F6836" w:rsidP="00783ACD">
            <w:pPr>
              <w:widowControl w:val="0"/>
              <w:spacing w:after="140" w:line="240" w:lineRule="auto"/>
              <w:rPr>
                <w:rFonts w:ascii="Gill Sans MT" w:hAnsi="Gill Sans MT" w:cs="Arial"/>
                <w:b/>
                <w:color w:val="000000"/>
                <w:sz w:val="16"/>
                <w:szCs w:val="16"/>
              </w:rPr>
            </w:pPr>
            <w:r w:rsidRPr="00093C97">
              <w:rPr>
                <w:rFonts w:ascii="Gill Sans MT" w:hAnsi="Gill Sans MT" w:cs="Arial"/>
                <w:b/>
                <w:color w:val="000000"/>
                <w:sz w:val="16"/>
                <w:szCs w:val="16"/>
              </w:rPr>
              <w:t>(604)</w:t>
            </w:r>
          </w:p>
        </w:tc>
        <w:tc>
          <w:tcPr>
            <w:tcW w:w="456" w:type="pct"/>
            <w:tcBorders>
              <w:top w:val="nil"/>
              <w:left w:val="nil"/>
              <w:bottom w:val="single" w:sz="4" w:space="0" w:color="auto"/>
              <w:right w:val="single" w:sz="4" w:space="0" w:color="auto"/>
            </w:tcBorders>
            <w:shd w:val="clear" w:color="auto" w:fill="auto"/>
            <w:noWrap/>
            <w:vAlign w:val="center"/>
            <w:hideMark/>
          </w:tcPr>
          <w:p w14:paraId="4FBBCB9E"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20.4</w:t>
            </w:r>
          </w:p>
        </w:tc>
        <w:tc>
          <w:tcPr>
            <w:tcW w:w="456" w:type="pct"/>
            <w:tcBorders>
              <w:top w:val="nil"/>
              <w:left w:val="nil"/>
              <w:bottom w:val="single" w:sz="4" w:space="0" w:color="auto"/>
              <w:right w:val="single" w:sz="4" w:space="0" w:color="auto"/>
            </w:tcBorders>
            <w:shd w:val="clear" w:color="auto" w:fill="auto"/>
            <w:noWrap/>
            <w:vAlign w:val="center"/>
            <w:hideMark/>
          </w:tcPr>
          <w:p w14:paraId="727F4E67"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22.8</w:t>
            </w:r>
          </w:p>
        </w:tc>
        <w:tc>
          <w:tcPr>
            <w:tcW w:w="456" w:type="pct"/>
            <w:tcBorders>
              <w:top w:val="nil"/>
              <w:left w:val="nil"/>
              <w:bottom w:val="single" w:sz="4" w:space="0" w:color="auto"/>
              <w:right w:val="single" w:sz="4" w:space="0" w:color="auto"/>
            </w:tcBorders>
            <w:shd w:val="clear" w:color="auto" w:fill="auto"/>
            <w:noWrap/>
            <w:vAlign w:val="center"/>
            <w:hideMark/>
          </w:tcPr>
          <w:p w14:paraId="18EFB5BD"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55.7</w:t>
            </w:r>
          </w:p>
        </w:tc>
        <w:tc>
          <w:tcPr>
            <w:tcW w:w="496" w:type="pct"/>
            <w:tcBorders>
              <w:top w:val="nil"/>
              <w:left w:val="nil"/>
              <w:bottom w:val="single" w:sz="4" w:space="0" w:color="auto"/>
              <w:right w:val="single" w:sz="4" w:space="0" w:color="auto"/>
            </w:tcBorders>
            <w:shd w:val="clear" w:color="auto" w:fill="auto"/>
            <w:noWrap/>
            <w:vAlign w:val="center"/>
            <w:hideMark/>
          </w:tcPr>
          <w:p w14:paraId="3F1BD1ED"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17.3</w:t>
            </w:r>
          </w:p>
        </w:tc>
        <w:tc>
          <w:tcPr>
            <w:tcW w:w="441" w:type="pct"/>
            <w:tcBorders>
              <w:top w:val="nil"/>
              <w:left w:val="nil"/>
              <w:bottom w:val="single" w:sz="4" w:space="0" w:color="auto"/>
              <w:right w:val="single" w:sz="4" w:space="0" w:color="auto"/>
            </w:tcBorders>
            <w:shd w:val="clear" w:color="auto" w:fill="auto"/>
            <w:noWrap/>
            <w:vAlign w:val="center"/>
            <w:hideMark/>
          </w:tcPr>
          <w:p w14:paraId="295148C4"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66.5</w:t>
            </w:r>
          </w:p>
        </w:tc>
        <w:tc>
          <w:tcPr>
            <w:tcW w:w="441" w:type="pct"/>
            <w:tcBorders>
              <w:top w:val="nil"/>
              <w:left w:val="nil"/>
              <w:bottom w:val="single" w:sz="4" w:space="0" w:color="auto"/>
              <w:right w:val="single" w:sz="4" w:space="0" w:color="auto"/>
            </w:tcBorders>
            <w:shd w:val="clear" w:color="auto" w:fill="auto"/>
            <w:noWrap/>
            <w:vAlign w:val="center"/>
            <w:hideMark/>
          </w:tcPr>
          <w:p w14:paraId="2E614E9C"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16.2</w:t>
            </w:r>
          </w:p>
        </w:tc>
        <w:tc>
          <w:tcPr>
            <w:tcW w:w="470" w:type="pct"/>
            <w:tcBorders>
              <w:top w:val="nil"/>
              <w:left w:val="nil"/>
              <w:bottom w:val="single" w:sz="4" w:space="0" w:color="auto"/>
              <w:right w:val="single" w:sz="4" w:space="0" w:color="auto"/>
            </w:tcBorders>
            <w:shd w:val="clear" w:color="auto" w:fill="auto"/>
            <w:noWrap/>
            <w:vAlign w:val="center"/>
            <w:hideMark/>
          </w:tcPr>
          <w:p w14:paraId="6611947B"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44.2</w:t>
            </w:r>
          </w:p>
        </w:tc>
        <w:tc>
          <w:tcPr>
            <w:tcW w:w="470" w:type="pct"/>
            <w:tcBorders>
              <w:top w:val="nil"/>
              <w:left w:val="nil"/>
              <w:bottom w:val="single" w:sz="4" w:space="0" w:color="auto"/>
              <w:right w:val="single" w:sz="4" w:space="0" w:color="auto"/>
            </w:tcBorders>
            <w:shd w:val="clear" w:color="auto" w:fill="auto"/>
            <w:noWrap/>
            <w:vAlign w:val="center"/>
            <w:hideMark/>
          </w:tcPr>
          <w:p w14:paraId="4B7A1C68"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13.1</w:t>
            </w:r>
          </w:p>
        </w:tc>
        <w:tc>
          <w:tcPr>
            <w:tcW w:w="470" w:type="pct"/>
            <w:tcBorders>
              <w:top w:val="nil"/>
              <w:left w:val="nil"/>
              <w:bottom w:val="single" w:sz="4" w:space="0" w:color="auto"/>
              <w:right w:val="single" w:sz="4" w:space="0" w:color="auto"/>
            </w:tcBorders>
            <w:shd w:val="clear" w:color="auto" w:fill="auto"/>
            <w:noWrap/>
            <w:vAlign w:val="center"/>
            <w:hideMark/>
          </w:tcPr>
          <w:p w14:paraId="26A0A6F0"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25.3</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7C3100E7" w14:textId="77777777" w:rsidR="001F6836" w:rsidRPr="00093C97" w:rsidRDefault="001F6836" w:rsidP="00783ACD">
            <w:pPr>
              <w:widowControl w:val="0"/>
              <w:spacing w:after="140" w:line="240" w:lineRule="auto"/>
              <w:jc w:val="right"/>
              <w:rPr>
                <w:rFonts w:ascii="Gill Sans MT" w:hAnsi="Gill Sans MT" w:cs="Arial"/>
                <w:color w:val="000000"/>
                <w:sz w:val="16"/>
                <w:szCs w:val="16"/>
              </w:rPr>
            </w:pPr>
            <w:r w:rsidRPr="00093C97">
              <w:rPr>
                <w:rFonts w:ascii="Gill Sans MT" w:hAnsi="Gill Sans MT" w:cs="Arial"/>
                <w:color w:val="000000"/>
                <w:sz w:val="16"/>
                <w:szCs w:val="16"/>
              </w:rPr>
              <w:t>17.3</w:t>
            </w:r>
          </w:p>
        </w:tc>
      </w:tr>
      <w:tr w:rsidR="001F6836" w:rsidRPr="00093C97" w14:paraId="5C4F5D4C" w14:textId="77777777" w:rsidTr="00093C97">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3AF4CC53" w14:textId="77777777" w:rsidR="001F6836" w:rsidRPr="00093C97" w:rsidRDefault="001F6836" w:rsidP="00783ACD">
            <w:pPr>
              <w:widowControl w:val="0"/>
              <w:spacing w:after="140" w:line="240" w:lineRule="auto"/>
              <w:contextualSpacing/>
              <w:rPr>
                <w:rFonts w:ascii="Gill Sans MT" w:hAnsi="Gill Sans MT" w:cs="Arial"/>
                <w:color w:val="000000"/>
                <w:sz w:val="18"/>
                <w:szCs w:val="18"/>
              </w:rPr>
            </w:pPr>
            <w:r w:rsidRPr="00093C97">
              <w:rPr>
                <w:rFonts w:ascii="Gill Sans MT" w:hAnsi="Gill Sans MT" w:cs="Arial"/>
                <w:color w:val="000000"/>
                <w:sz w:val="18"/>
                <w:szCs w:val="18"/>
              </w:rPr>
              <w:t xml:space="preserve">(c) Smoked at least 100 cigarettes (manufactured and/or roll-your-own) or the equivalent amount of tobacco in their </w:t>
            </w:r>
            <w:proofErr w:type="gramStart"/>
            <w:r w:rsidRPr="00093C97">
              <w:rPr>
                <w:rFonts w:ascii="Gill Sans MT" w:hAnsi="Gill Sans MT" w:cs="Arial"/>
                <w:color w:val="000000"/>
                <w:sz w:val="18"/>
                <w:szCs w:val="18"/>
              </w:rPr>
              <w:t>life, and</w:t>
            </w:r>
            <w:proofErr w:type="gramEnd"/>
            <w:r w:rsidRPr="00093C97">
              <w:rPr>
                <w:rFonts w:ascii="Gill Sans MT" w:hAnsi="Gill Sans MT" w:cs="Arial"/>
                <w:color w:val="000000"/>
                <w:sz w:val="18"/>
                <w:szCs w:val="18"/>
              </w:rPr>
              <w:t xml:space="preserve"> reported no longer smoking.</w:t>
            </w:r>
          </w:p>
        </w:tc>
      </w:tr>
      <w:tr w:rsidR="001F6836" w:rsidRPr="00093C97" w14:paraId="05122BFE" w14:textId="77777777" w:rsidTr="00093C97">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6BBB21F2" w14:textId="77777777" w:rsidR="001F6836" w:rsidRPr="00093C97" w:rsidRDefault="001F6836" w:rsidP="00783ACD">
            <w:pPr>
              <w:widowControl w:val="0"/>
              <w:spacing w:after="140" w:line="240" w:lineRule="auto"/>
              <w:contextualSpacing/>
              <w:rPr>
                <w:rFonts w:ascii="Gill Sans MT" w:hAnsi="Gill Sans MT" w:cs="Arial"/>
                <w:color w:val="000000"/>
                <w:sz w:val="18"/>
                <w:szCs w:val="18"/>
              </w:rPr>
            </w:pPr>
            <w:r w:rsidRPr="00093C97">
              <w:rPr>
                <w:rFonts w:ascii="Gill Sans MT" w:hAnsi="Gill Sans MT" w:cs="Arial"/>
                <w:color w:val="000000"/>
                <w:sz w:val="18"/>
                <w:szCs w:val="18"/>
              </w:rPr>
              <w:t>(d) Never smoked 100 cigarettes (manufactured and/or roll-your-own) or the equivalent amount of tobacco.</w:t>
            </w:r>
          </w:p>
        </w:tc>
      </w:tr>
      <w:tr w:rsidR="001F6836" w:rsidRPr="00093C97" w14:paraId="7D110E21" w14:textId="77777777" w:rsidTr="00093C97">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252E521E" w14:textId="77777777" w:rsidR="001F6836" w:rsidRPr="00093C97" w:rsidRDefault="001F6836" w:rsidP="00783ACD">
            <w:pPr>
              <w:widowControl w:val="0"/>
              <w:spacing w:after="140" w:line="240" w:lineRule="auto"/>
              <w:contextualSpacing/>
              <w:rPr>
                <w:rFonts w:ascii="Gill Sans MT" w:hAnsi="Gill Sans MT" w:cs="Arial"/>
                <w:color w:val="000000"/>
                <w:sz w:val="18"/>
                <w:szCs w:val="18"/>
              </w:rPr>
            </w:pPr>
            <w:r w:rsidRPr="00093C97">
              <w:rPr>
                <w:rFonts w:ascii="Gill Sans MT" w:hAnsi="Gill Sans MT" w:cs="Arial"/>
                <w:color w:val="000000"/>
                <w:sz w:val="18"/>
                <w:szCs w:val="18"/>
              </w:rPr>
              <w:t>(e) Not consumed alcohol in the previous 12 months.</w:t>
            </w:r>
          </w:p>
        </w:tc>
      </w:tr>
      <w:tr w:rsidR="001F6836" w:rsidRPr="00093C97" w14:paraId="554D9C69" w14:textId="77777777" w:rsidTr="00093C97">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125801E6" w14:textId="77777777" w:rsidR="001F6836" w:rsidRPr="00093C97" w:rsidRDefault="001F6836" w:rsidP="00783ACD">
            <w:pPr>
              <w:widowControl w:val="0"/>
              <w:spacing w:after="140" w:line="240" w:lineRule="auto"/>
              <w:contextualSpacing/>
              <w:rPr>
                <w:rFonts w:ascii="Gill Sans MT" w:hAnsi="Gill Sans MT" w:cs="Arial"/>
                <w:color w:val="000000"/>
                <w:sz w:val="18"/>
                <w:szCs w:val="18"/>
              </w:rPr>
            </w:pPr>
            <w:r w:rsidRPr="00093C97">
              <w:rPr>
                <w:rFonts w:ascii="Gill Sans MT" w:hAnsi="Gill Sans MT" w:cs="Arial"/>
                <w:color w:val="000000"/>
                <w:sz w:val="18"/>
                <w:szCs w:val="18"/>
              </w:rPr>
              <w:t>(f) On average, had no more than 2 standard drinks per day.</w:t>
            </w:r>
          </w:p>
        </w:tc>
      </w:tr>
      <w:tr w:rsidR="001F6836" w:rsidRPr="00093C97" w14:paraId="5DEAC56A" w14:textId="77777777" w:rsidTr="00093C97">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1D764967" w14:textId="77777777" w:rsidR="001F6836" w:rsidRPr="00093C97" w:rsidRDefault="001F6836" w:rsidP="00783ACD">
            <w:pPr>
              <w:widowControl w:val="0"/>
              <w:spacing w:after="140" w:line="240" w:lineRule="auto"/>
              <w:contextualSpacing/>
              <w:rPr>
                <w:rFonts w:ascii="Gill Sans MT" w:hAnsi="Gill Sans MT" w:cs="Arial"/>
                <w:color w:val="000000"/>
                <w:sz w:val="18"/>
                <w:szCs w:val="18"/>
              </w:rPr>
            </w:pPr>
            <w:r w:rsidRPr="00093C97">
              <w:rPr>
                <w:rFonts w:ascii="Gill Sans MT" w:hAnsi="Gill Sans MT" w:cs="Arial"/>
                <w:color w:val="000000"/>
                <w:sz w:val="18"/>
                <w:szCs w:val="18"/>
              </w:rPr>
              <w:t>(g) On average, had more than 2 standard drinks per day.</w:t>
            </w:r>
          </w:p>
        </w:tc>
      </w:tr>
      <w:tr w:rsidR="001F6836" w:rsidRPr="00093C97" w14:paraId="46406999" w14:textId="77777777" w:rsidTr="00093C97">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12A45AE9" w14:textId="77777777" w:rsidR="001F6836" w:rsidRPr="00093C97" w:rsidRDefault="001F6836" w:rsidP="00783ACD">
            <w:pPr>
              <w:widowControl w:val="0"/>
              <w:spacing w:after="140" w:line="240" w:lineRule="auto"/>
              <w:contextualSpacing/>
              <w:rPr>
                <w:rFonts w:ascii="Gill Sans MT" w:hAnsi="Gill Sans MT" w:cs="Arial"/>
                <w:color w:val="000000"/>
                <w:sz w:val="18"/>
                <w:szCs w:val="18"/>
              </w:rPr>
            </w:pPr>
            <w:r w:rsidRPr="00093C97">
              <w:rPr>
                <w:rFonts w:ascii="Gill Sans MT" w:hAnsi="Gill Sans MT" w:cs="Arial"/>
                <w:color w:val="000000"/>
                <w:sz w:val="18"/>
                <w:szCs w:val="18"/>
              </w:rPr>
              <w:t>(h) Never had more than 4 standard drinks on any occasion.</w:t>
            </w:r>
          </w:p>
        </w:tc>
      </w:tr>
      <w:tr w:rsidR="001F6836" w:rsidRPr="00093C97" w14:paraId="511FFB0A" w14:textId="77777777" w:rsidTr="00093C97">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301FDAF7" w14:textId="77777777" w:rsidR="001F6836" w:rsidRPr="00093C97" w:rsidRDefault="001F6836" w:rsidP="00783ACD">
            <w:pPr>
              <w:widowControl w:val="0"/>
              <w:spacing w:after="140" w:line="240" w:lineRule="auto"/>
              <w:contextualSpacing/>
              <w:rPr>
                <w:rFonts w:ascii="Gill Sans MT" w:hAnsi="Gill Sans MT" w:cs="Arial"/>
                <w:color w:val="000000"/>
                <w:sz w:val="18"/>
                <w:szCs w:val="18"/>
              </w:rPr>
            </w:pPr>
            <w:r w:rsidRPr="00093C97">
              <w:rPr>
                <w:rFonts w:ascii="Gill Sans MT" w:hAnsi="Gill Sans MT" w:cs="Arial"/>
                <w:color w:val="000000"/>
                <w:sz w:val="18"/>
                <w:szCs w:val="18"/>
              </w:rPr>
              <w:t>(i) Had more than 4 standard drinks at least once a year but not as often as monthly.</w:t>
            </w:r>
          </w:p>
        </w:tc>
      </w:tr>
      <w:tr w:rsidR="001F6836" w:rsidRPr="00093C97" w14:paraId="24103A78" w14:textId="77777777" w:rsidTr="00093C97">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52EE8925" w14:textId="77777777" w:rsidR="001F6836" w:rsidRPr="00093C97" w:rsidRDefault="001F6836" w:rsidP="00783ACD">
            <w:pPr>
              <w:widowControl w:val="0"/>
              <w:spacing w:after="140" w:line="240" w:lineRule="auto"/>
              <w:contextualSpacing/>
              <w:rPr>
                <w:rFonts w:ascii="Gill Sans MT" w:hAnsi="Gill Sans MT" w:cs="Arial"/>
                <w:color w:val="000000"/>
                <w:sz w:val="18"/>
                <w:szCs w:val="18"/>
              </w:rPr>
            </w:pPr>
            <w:r w:rsidRPr="00093C97">
              <w:rPr>
                <w:rFonts w:ascii="Gill Sans MT" w:hAnsi="Gill Sans MT" w:cs="Arial"/>
                <w:color w:val="000000"/>
                <w:sz w:val="18"/>
                <w:szCs w:val="18"/>
              </w:rPr>
              <w:t>(j) Had more than 4 standard drinks at least once a month but not as often as weekly.</w:t>
            </w:r>
          </w:p>
        </w:tc>
      </w:tr>
      <w:tr w:rsidR="001F6836" w:rsidRPr="00093C97" w14:paraId="14DE3FCB" w14:textId="77777777" w:rsidTr="00093C97">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1D9FC1E5" w14:textId="77777777" w:rsidR="001F6836" w:rsidRPr="00093C97" w:rsidRDefault="001F6836" w:rsidP="00783ACD">
            <w:pPr>
              <w:widowControl w:val="0"/>
              <w:spacing w:after="140" w:line="240" w:lineRule="auto"/>
              <w:contextualSpacing/>
              <w:rPr>
                <w:rFonts w:ascii="Gill Sans MT" w:hAnsi="Gill Sans MT" w:cs="Arial"/>
                <w:color w:val="000000"/>
                <w:sz w:val="18"/>
                <w:szCs w:val="18"/>
              </w:rPr>
            </w:pPr>
            <w:r w:rsidRPr="00093C97">
              <w:rPr>
                <w:rFonts w:ascii="Gill Sans MT" w:hAnsi="Gill Sans MT" w:cs="Arial"/>
                <w:color w:val="000000"/>
                <w:sz w:val="18"/>
                <w:szCs w:val="18"/>
              </w:rPr>
              <w:t>(k) Used at least 1 of 16 illicit drugs in 2016.</w:t>
            </w:r>
          </w:p>
        </w:tc>
      </w:tr>
    </w:tbl>
    <w:p w14:paraId="2D41FACE" w14:textId="77777777" w:rsidR="00965ADF" w:rsidRPr="00093C97" w:rsidRDefault="00965ADF" w:rsidP="00783ACD">
      <w:pPr>
        <w:pStyle w:val="BulletedListLevel1"/>
        <w:keepLines w:val="0"/>
        <w:widowControl w:val="0"/>
        <w:numPr>
          <w:ilvl w:val="0"/>
          <w:numId w:val="0"/>
        </w:numPr>
        <w:spacing w:line="240" w:lineRule="auto"/>
        <w:rPr>
          <w:sz w:val="22"/>
          <w:szCs w:val="22"/>
        </w:rPr>
      </w:pPr>
    </w:p>
    <w:p w14:paraId="573F832E" w14:textId="77777777" w:rsidR="002D610F" w:rsidRPr="00093C97" w:rsidRDefault="002D610F" w:rsidP="00783ACD">
      <w:pPr>
        <w:pStyle w:val="BulletedListLevel1"/>
        <w:keepLines w:val="0"/>
        <w:widowControl w:val="0"/>
        <w:numPr>
          <w:ilvl w:val="0"/>
          <w:numId w:val="0"/>
        </w:numPr>
        <w:spacing w:line="240" w:lineRule="auto"/>
        <w:rPr>
          <w:sz w:val="22"/>
          <w:szCs w:val="22"/>
        </w:rPr>
      </w:pPr>
      <w:r w:rsidRPr="00093C97">
        <w:rPr>
          <w:sz w:val="22"/>
          <w:szCs w:val="22"/>
        </w:rPr>
        <w:t>Other data indicates:</w:t>
      </w:r>
    </w:p>
    <w:p w14:paraId="3A986D74" w14:textId="77777777" w:rsidR="00C9331A" w:rsidRPr="00093C97" w:rsidRDefault="003A218E" w:rsidP="00783ACD">
      <w:pPr>
        <w:pStyle w:val="ListParagraph"/>
        <w:widowControl w:val="0"/>
        <w:numPr>
          <w:ilvl w:val="0"/>
          <w:numId w:val="3"/>
        </w:numPr>
        <w:spacing w:after="140" w:line="240" w:lineRule="auto"/>
        <w:ind w:left="567" w:hanging="567"/>
        <w:contextualSpacing w:val="0"/>
        <w:rPr>
          <w:rFonts w:ascii="Gill Sans MT" w:hAnsi="Gill Sans MT"/>
        </w:rPr>
      </w:pPr>
      <w:r w:rsidRPr="00093C97">
        <w:rPr>
          <w:rFonts w:ascii="Gill Sans MT" w:hAnsi="Gill Sans MT"/>
        </w:rPr>
        <w:t xml:space="preserve">The </w:t>
      </w:r>
      <w:r w:rsidRPr="00093C97">
        <w:rPr>
          <w:rFonts w:ascii="Gill Sans MT" w:hAnsi="Gill Sans MT"/>
          <w:i/>
        </w:rPr>
        <w:t>National Health Survey 2014-15</w:t>
      </w:r>
      <w:r w:rsidRPr="00093C97">
        <w:rPr>
          <w:rFonts w:ascii="Gill Sans MT" w:hAnsi="Gill Sans MT"/>
        </w:rPr>
        <w:t xml:space="preserve"> indicate</w:t>
      </w:r>
      <w:r w:rsidR="004D4D80" w:rsidRPr="00093C97">
        <w:rPr>
          <w:rFonts w:ascii="Gill Sans MT" w:hAnsi="Gill Sans MT"/>
        </w:rPr>
        <w:t>s</w:t>
      </w:r>
      <w:r w:rsidRPr="00093C97">
        <w:rPr>
          <w:rFonts w:ascii="Gill Sans MT" w:hAnsi="Gill Sans MT"/>
        </w:rPr>
        <w:t xml:space="preserve"> that nationally 17.4 per cent of adults aged 18 and over consumed more than two standard drinks on average, thus exceeding the lifetime risk guideline. Tasmania had the second highest age standardised proportion of adults exceeding the lifetime risk guideline, at 19.1 per cent. This has decreased since 2011-12 when 22.7 per cent exceeded this guideline</w:t>
      </w:r>
      <w:bookmarkStart w:id="1" w:name="_Ref462302750"/>
      <w:r w:rsidRPr="00093C97">
        <w:rPr>
          <w:rStyle w:val="EndnoteReference"/>
          <w:rFonts w:ascii="Gill Sans MT" w:hAnsi="Gill Sans MT"/>
        </w:rPr>
        <w:endnoteReference w:id="4"/>
      </w:r>
      <w:bookmarkEnd w:id="1"/>
      <w:r w:rsidRPr="00093C97">
        <w:rPr>
          <w:rFonts w:ascii="Gill Sans MT" w:hAnsi="Gill Sans MT"/>
        </w:rPr>
        <w:t>.</w:t>
      </w:r>
    </w:p>
    <w:p w14:paraId="04ABCAA5" w14:textId="15A84AB4" w:rsidR="003A218E" w:rsidRPr="00093C97" w:rsidRDefault="003A218E" w:rsidP="00783ACD">
      <w:pPr>
        <w:pStyle w:val="ListParagraph"/>
        <w:widowControl w:val="0"/>
        <w:numPr>
          <w:ilvl w:val="0"/>
          <w:numId w:val="3"/>
        </w:numPr>
        <w:spacing w:after="140" w:line="240" w:lineRule="auto"/>
        <w:ind w:left="567" w:hanging="567"/>
        <w:contextualSpacing w:val="0"/>
        <w:rPr>
          <w:rFonts w:ascii="Gill Sans MT" w:hAnsi="Gill Sans MT"/>
        </w:rPr>
      </w:pPr>
      <w:r w:rsidRPr="00093C97">
        <w:rPr>
          <w:rFonts w:ascii="Gill Sans MT" w:hAnsi="Gill Sans MT"/>
        </w:rPr>
        <w:t xml:space="preserve">It also shows that almost half of Tasmanian adults (49.2 per cent) consumed alcohol on at least one occasion to risky levels for acute harms in 2014-15, </w:t>
      </w:r>
      <w:proofErr w:type="gramStart"/>
      <w:r w:rsidRPr="00093C97">
        <w:rPr>
          <w:rFonts w:ascii="Gill Sans MT" w:hAnsi="Gill Sans MT"/>
        </w:rPr>
        <w:t>similar to</w:t>
      </w:r>
      <w:proofErr w:type="gramEnd"/>
      <w:r w:rsidRPr="00093C97">
        <w:rPr>
          <w:rFonts w:ascii="Gill Sans MT" w:hAnsi="Gill Sans MT"/>
        </w:rPr>
        <w:t xml:space="preserve"> the value for 2011-12 (48.9 per cent).  Tasmania now has the highest proportion of all jurisdictions (at 49.2 per cent) and a </w:t>
      </w:r>
      <w:r w:rsidRPr="00093C97">
        <w:rPr>
          <w:rFonts w:ascii="Gill Sans MT" w:hAnsi="Gill Sans MT"/>
        </w:rPr>
        <w:lastRenderedPageBreak/>
        <w:t xml:space="preserve">rate that is statistically significantly higher than the national level (45.0 per cent) </w:t>
      </w:r>
      <w:r w:rsidRPr="00093C97">
        <w:rPr>
          <w:rFonts w:ascii="Gill Sans MT" w:hAnsi="Gill Sans MT"/>
          <w:vertAlign w:val="superscript"/>
        </w:rPr>
        <w:fldChar w:fldCharType="begin"/>
      </w:r>
      <w:r w:rsidRPr="00093C97">
        <w:rPr>
          <w:rFonts w:ascii="Gill Sans MT" w:hAnsi="Gill Sans MT"/>
          <w:vertAlign w:val="superscript"/>
        </w:rPr>
        <w:instrText xml:space="preserve"> NOTEREF _Ref462302750 \h  \* MERGEFORMAT </w:instrText>
      </w:r>
      <w:r w:rsidRPr="00093C97">
        <w:rPr>
          <w:rFonts w:ascii="Gill Sans MT" w:hAnsi="Gill Sans MT"/>
          <w:vertAlign w:val="superscript"/>
        </w:rPr>
      </w:r>
      <w:r w:rsidRPr="00093C97">
        <w:rPr>
          <w:rFonts w:ascii="Gill Sans MT" w:hAnsi="Gill Sans MT"/>
          <w:vertAlign w:val="superscript"/>
        </w:rPr>
        <w:fldChar w:fldCharType="separate"/>
      </w:r>
      <w:r w:rsidR="00CE28F7" w:rsidRPr="00093C97">
        <w:rPr>
          <w:rFonts w:ascii="Gill Sans MT" w:hAnsi="Gill Sans MT"/>
          <w:vertAlign w:val="superscript"/>
        </w:rPr>
        <w:t>iv</w:t>
      </w:r>
      <w:r w:rsidRPr="00093C97">
        <w:rPr>
          <w:rFonts w:ascii="Gill Sans MT" w:hAnsi="Gill Sans MT"/>
          <w:vertAlign w:val="superscript"/>
        </w:rPr>
        <w:fldChar w:fldCharType="end"/>
      </w:r>
      <w:r w:rsidRPr="00093C97">
        <w:rPr>
          <w:rFonts w:ascii="Gill Sans MT" w:hAnsi="Gill Sans MT"/>
        </w:rPr>
        <w:t xml:space="preserve">. </w:t>
      </w:r>
    </w:p>
    <w:p w14:paraId="4D89C4B4" w14:textId="554AA522" w:rsidR="003A218E" w:rsidRPr="00093C97" w:rsidRDefault="003A218E" w:rsidP="00783ACD">
      <w:pPr>
        <w:pStyle w:val="ListParagraph"/>
        <w:widowControl w:val="0"/>
        <w:numPr>
          <w:ilvl w:val="0"/>
          <w:numId w:val="4"/>
        </w:numPr>
        <w:spacing w:after="140" w:line="240" w:lineRule="auto"/>
        <w:ind w:left="567" w:hanging="567"/>
        <w:contextualSpacing w:val="0"/>
        <w:rPr>
          <w:rFonts w:ascii="Gill Sans MT" w:hAnsi="Gill Sans MT"/>
        </w:rPr>
      </w:pPr>
      <w:r w:rsidRPr="00093C97">
        <w:rPr>
          <w:rFonts w:ascii="Gill Sans MT" w:hAnsi="Gill Sans MT"/>
        </w:rPr>
        <w:t xml:space="preserve">And, in 2014-15, 76.2 per cent of Tasmanian young people aged 18-24 years of age were estimated to be drinking at levels putting them at risk of </w:t>
      </w:r>
      <w:proofErr w:type="gramStart"/>
      <w:r w:rsidRPr="00093C97">
        <w:rPr>
          <w:rFonts w:ascii="Gill Sans MT" w:hAnsi="Gill Sans MT"/>
        </w:rPr>
        <w:t>short term</w:t>
      </w:r>
      <w:proofErr w:type="gramEnd"/>
      <w:r w:rsidRPr="00093C97">
        <w:rPr>
          <w:rFonts w:ascii="Gill Sans MT" w:hAnsi="Gill Sans MT"/>
        </w:rPr>
        <w:t xml:space="preserve"> alcohol related harm. In all but the over 65 years age group, estimates were higher for Tasmania than nationally; however, only the di</w:t>
      </w:r>
      <w:r w:rsidR="00CA6256" w:rsidRPr="00093C97">
        <w:rPr>
          <w:rFonts w:ascii="Gill Sans MT" w:hAnsi="Gill Sans MT"/>
        </w:rPr>
        <w:t>fferences for the 15-17, 18-24 and</w:t>
      </w:r>
      <w:r w:rsidRPr="00093C97">
        <w:rPr>
          <w:rFonts w:ascii="Gill Sans MT" w:hAnsi="Gill Sans MT"/>
        </w:rPr>
        <w:t xml:space="preserve"> 65 years and over age groups were statistically significant. These numbers have decreased slightly since 2011-12, when 82.3 per cent of 18-24 years </w:t>
      </w:r>
      <w:proofErr w:type="spellStart"/>
      <w:r w:rsidRPr="00093C97">
        <w:rPr>
          <w:rFonts w:ascii="Gill Sans MT" w:hAnsi="Gill Sans MT"/>
        </w:rPr>
        <w:t>olds</w:t>
      </w:r>
      <w:proofErr w:type="spellEnd"/>
      <w:r w:rsidRPr="00093C97">
        <w:rPr>
          <w:rFonts w:ascii="Gill Sans MT" w:hAnsi="Gill Sans MT"/>
        </w:rPr>
        <w:t xml:space="preserve"> were at short term risk </w:t>
      </w:r>
      <w:r w:rsidRPr="00093C97">
        <w:rPr>
          <w:rFonts w:ascii="Gill Sans MT" w:hAnsi="Gill Sans MT"/>
          <w:vertAlign w:val="superscript"/>
        </w:rPr>
        <w:fldChar w:fldCharType="begin"/>
      </w:r>
      <w:r w:rsidRPr="00093C97">
        <w:rPr>
          <w:rFonts w:ascii="Gill Sans MT" w:hAnsi="Gill Sans MT"/>
          <w:vertAlign w:val="superscript"/>
        </w:rPr>
        <w:instrText xml:space="preserve"> NOTEREF _Ref462302750 \h  \* MERGEFORMAT </w:instrText>
      </w:r>
      <w:r w:rsidRPr="00093C97">
        <w:rPr>
          <w:rFonts w:ascii="Gill Sans MT" w:hAnsi="Gill Sans MT"/>
          <w:vertAlign w:val="superscript"/>
        </w:rPr>
      </w:r>
      <w:r w:rsidRPr="00093C97">
        <w:rPr>
          <w:rFonts w:ascii="Gill Sans MT" w:hAnsi="Gill Sans MT"/>
          <w:vertAlign w:val="superscript"/>
        </w:rPr>
        <w:fldChar w:fldCharType="separate"/>
      </w:r>
      <w:r w:rsidR="00CE28F7" w:rsidRPr="00093C97">
        <w:rPr>
          <w:rFonts w:ascii="Gill Sans MT" w:hAnsi="Gill Sans MT"/>
          <w:vertAlign w:val="superscript"/>
        </w:rPr>
        <w:t>iv</w:t>
      </w:r>
      <w:r w:rsidRPr="00093C97">
        <w:rPr>
          <w:rFonts w:ascii="Gill Sans MT" w:hAnsi="Gill Sans MT"/>
          <w:vertAlign w:val="superscript"/>
        </w:rPr>
        <w:fldChar w:fldCharType="end"/>
      </w:r>
      <w:r w:rsidRPr="00093C97">
        <w:rPr>
          <w:rFonts w:ascii="Gill Sans MT" w:hAnsi="Gill Sans MT"/>
        </w:rPr>
        <w:t>.</w:t>
      </w:r>
    </w:p>
    <w:p w14:paraId="394C000A" w14:textId="77777777" w:rsidR="002D610F" w:rsidRPr="00093C97" w:rsidRDefault="002D610F" w:rsidP="00783ACD">
      <w:pPr>
        <w:pStyle w:val="ListParagraph"/>
        <w:widowControl w:val="0"/>
        <w:numPr>
          <w:ilvl w:val="0"/>
          <w:numId w:val="4"/>
        </w:numPr>
        <w:spacing w:after="140" w:line="240" w:lineRule="auto"/>
        <w:ind w:left="567" w:hanging="567"/>
        <w:contextualSpacing w:val="0"/>
        <w:rPr>
          <w:rFonts w:ascii="Gill Sans MT" w:hAnsi="Gill Sans MT"/>
        </w:rPr>
      </w:pPr>
      <w:r w:rsidRPr="00093C97">
        <w:rPr>
          <w:rFonts w:ascii="Gill Sans MT" w:hAnsi="Gill Sans MT"/>
        </w:rPr>
        <w:t>The Council of Obstetric and Paediatric Mortality and Morbidity database report</w:t>
      </w:r>
      <w:bookmarkStart w:id="2" w:name="_Ref501014122"/>
      <w:r w:rsidR="00E851F6" w:rsidRPr="00093C97">
        <w:rPr>
          <w:rStyle w:val="EndnoteReference"/>
          <w:rFonts w:ascii="Gill Sans MT" w:hAnsi="Gill Sans MT"/>
        </w:rPr>
        <w:endnoteReference w:id="5"/>
      </w:r>
      <w:bookmarkEnd w:id="2"/>
      <w:r w:rsidR="00E851F6" w:rsidRPr="00093C97">
        <w:rPr>
          <w:rFonts w:ascii="Gill Sans MT" w:hAnsi="Gill Sans MT"/>
        </w:rPr>
        <w:t xml:space="preserve"> </w:t>
      </w:r>
      <w:r w:rsidRPr="00093C97">
        <w:rPr>
          <w:rFonts w:ascii="Gill Sans MT" w:hAnsi="Gill Sans MT"/>
        </w:rPr>
        <w:t>shows that a total of</w:t>
      </w:r>
      <w:r w:rsidR="00E851F6" w:rsidRPr="00093C97">
        <w:rPr>
          <w:rFonts w:ascii="Gill Sans MT" w:hAnsi="Gill Sans MT"/>
        </w:rPr>
        <w:t xml:space="preserve"> 6.5</w:t>
      </w:r>
      <w:r w:rsidRPr="00093C97">
        <w:rPr>
          <w:rFonts w:ascii="Gill Sans MT" w:hAnsi="Gill Sans MT"/>
        </w:rPr>
        <w:t xml:space="preserve"> per cent of Tasmanian women consumed alcoho</w:t>
      </w:r>
      <w:r w:rsidR="00CA6256" w:rsidRPr="00093C97">
        <w:rPr>
          <w:rFonts w:ascii="Gill Sans MT" w:hAnsi="Gill Sans MT"/>
        </w:rPr>
        <w:t>l during their pregnancy in 2014</w:t>
      </w:r>
      <w:r w:rsidR="00E851F6" w:rsidRPr="00093C97">
        <w:rPr>
          <w:rFonts w:ascii="Gill Sans MT" w:hAnsi="Gill Sans MT"/>
        </w:rPr>
        <w:t xml:space="preserve"> which was almost identical to the 2013 figure. </w:t>
      </w:r>
      <w:r w:rsidR="00515EB8" w:rsidRPr="00093C97">
        <w:rPr>
          <w:rFonts w:ascii="Gill Sans MT" w:hAnsi="Gill Sans MT"/>
        </w:rPr>
        <w:t>This</w:t>
      </w:r>
      <w:r w:rsidRPr="00093C97">
        <w:rPr>
          <w:rFonts w:ascii="Gill Sans MT" w:hAnsi="Gill Sans MT"/>
        </w:rPr>
        <w:t xml:space="preserve"> continues to be more prevalent amongst older mothers in Tasmania, especially those aged between 30 and 39 years</w:t>
      </w:r>
      <w:bookmarkStart w:id="3" w:name="_Ref436833620"/>
      <w:r w:rsidR="00515EB8" w:rsidRPr="00093C97">
        <w:rPr>
          <w:rFonts w:ascii="Gill Sans MT" w:hAnsi="Gill Sans MT"/>
        </w:rPr>
        <w:t xml:space="preserve"> (9.2 per cent)</w:t>
      </w:r>
      <w:r w:rsidR="00E851F6" w:rsidRPr="00093C97">
        <w:rPr>
          <w:rFonts w:ascii="Gill Sans MT" w:hAnsi="Gill Sans MT"/>
        </w:rPr>
        <w:t xml:space="preserve">. </w:t>
      </w:r>
      <w:r w:rsidR="00E851F6" w:rsidRPr="00093C97">
        <w:rPr>
          <w:rFonts w:ascii="Gill Sans MT" w:hAnsi="Gill Sans MT" w:cs="Calibri"/>
        </w:rPr>
        <w:t>Reported alcohol consumption during pregnancy in 2014 amongst public patients (6.6 per cent) was only slightly higher (p=0.679) than for private patients (6.3 per cent)</w:t>
      </w:r>
      <w:bookmarkEnd w:id="3"/>
      <w:r w:rsidR="00E851F6" w:rsidRPr="00093C97">
        <w:rPr>
          <w:rFonts w:ascii="Gill Sans MT" w:hAnsi="Gill Sans MT" w:cs="Calibri"/>
        </w:rPr>
        <w:t>.</w:t>
      </w:r>
    </w:p>
    <w:p w14:paraId="33AA4086" w14:textId="425F66B7" w:rsidR="002D610F" w:rsidRPr="00093C97" w:rsidRDefault="002D610F" w:rsidP="00783ACD">
      <w:pPr>
        <w:pStyle w:val="BulletedListLevel1"/>
        <w:keepLines w:val="0"/>
        <w:widowControl w:val="0"/>
        <w:numPr>
          <w:ilvl w:val="0"/>
          <w:numId w:val="4"/>
        </w:numPr>
        <w:spacing w:line="240" w:lineRule="auto"/>
        <w:ind w:left="567" w:hanging="567"/>
        <w:rPr>
          <w:sz w:val="22"/>
          <w:szCs w:val="22"/>
        </w:rPr>
      </w:pPr>
      <w:r w:rsidRPr="00093C97">
        <w:rPr>
          <w:sz w:val="22"/>
          <w:szCs w:val="22"/>
        </w:rPr>
        <w:t>The proportion of Tasmanian women who reported smoking during pregnancy has fallen si</w:t>
      </w:r>
      <w:r w:rsidR="00CA6256" w:rsidRPr="00093C97">
        <w:rPr>
          <w:sz w:val="22"/>
          <w:szCs w:val="22"/>
        </w:rPr>
        <w:t>gnificantly since 2010.  In 2014</w:t>
      </w:r>
      <w:r w:rsidRPr="00093C97">
        <w:rPr>
          <w:sz w:val="22"/>
          <w:szCs w:val="22"/>
        </w:rPr>
        <w:t xml:space="preserve">, </w:t>
      </w:r>
      <w:r w:rsidR="00CA6256" w:rsidRPr="00093C97">
        <w:rPr>
          <w:sz w:val="22"/>
          <w:szCs w:val="22"/>
        </w:rPr>
        <w:t xml:space="preserve">14.3 </w:t>
      </w:r>
      <w:r w:rsidRPr="00093C97">
        <w:rPr>
          <w:sz w:val="22"/>
          <w:szCs w:val="22"/>
        </w:rPr>
        <w:t>per cent of women reported smoking whilst pregnant</w:t>
      </w:r>
      <w:r w:rsidR="00CA6256" w:rsidRPr="00093C97">
        <w:rPr>
          <w:sz w:val="22"/>
          <w:szCs w:val="22"/>
        </w:rPr>
        <w:t xml:space="preserve">, slightly lower than for 2013. </w:t>
      </w:r>
      <w:r w:rsidRPr="00093C97">
        <w:rPr>
          <w:sz w:val="22"/>
          <w:szCs w:val="22"/>
        </w:rPr>
        <w:t xml:space="preserve"> Although this proportion continues to fall, smoking during pregnancy continues to be </w:t>
      </w:r>
      <w:r w:rsidR="00CA6256" w:rsidRPr="00093C97">
        <w:rPr>
          <w:sz w:val="22"/>
          <w:szCs w:val="22"/>
        </w:rPr>
        <w:t>more prevalent</w:t>
      </w:r>
      <w:r w:rsidRPr="00093C97">
        <w:rPr>
          <w:sz w:val="22"/>
          <w:szCs w:val="22"/>
        </w:rPr>
        <w:t xml:space="preserve"> among young mothers under 20 years</w:t>
      </w:r>
      <w:r w:rsidR="00E851F6" w:rsidRPr="00093C97">
        <w:rPr>
          <w:sz w:val="22"/>
          <w:szCs w:val="22"/>
        </w:rPr>
        <w:t xml:space="preserve"> at </w:t>
      </w:r>
      <w:r w:rsidR="00CA6256" w:rsidRPr="00093C97">
        <w:rPr>
          <w:sz w:val="22"/>
          <w:szCs w:val="22"/>
        </w:rPr>
        <w:t>34.9 per cent)</w:t>
      </w:r>
      <w:r w:rsidR="004D4D80" w:rsidRPr="00093C97">
        <w:rPr>
          <w:sz w:val="22"/>
          <w:szCs w:val="22"/>
          <w:vertAlign w:val="superscript"/>
        </w:rPr>
        <w:fldChar w:fldCharType="begin"/>
      </w:r>
      <w:r w:rsidR="004D4D80" w:rsidRPr="00093C97">
        <w:rPr>
          <w:sz w:val="22"/>
          <w:szCs w:val="22"/>
          <w:vertAlign w:val="superscript"/>
        </w:rPr>
        <w:instrText xml:space="preserve"> NOTEREF _Ref501014122 \h  \* MERGEFORMAT </w:instrText>
      </w:r>
      <w:r w:rsidR="004D4D80" w:rsidRPr="00093C97">
        <w:rPr>
          <w:sz w:val="22"/>
          <w:szCs w:val="22"/>
          <w:vertAlign w:val="superscript"/>
        </w:rPr>
      </w:r>
      <w:r w:rsidR="004D4D80" w:rsidRPr="00093C97">
        <w:rPr>
          <w:sz w:val="22"/>
          <w:szCs w:val="22"/>
          <w:vertAlign w:val="superscript"/>
        </w:rPr>
        <w:fldChar w:fldCharType="separate"/>
      </w:r>
      <w:r w:rsidR="00CE28F7" w:rsidRPr="00093C97">
        <w:rPr>
          <w:sz w:val="22"/>
          <w:szCs w:val="22"/>
          <w:vertAlign w:val="superscript"/>
        </w:rPr>
        <w:t>v</w:t>
      </w:r>
      <w:r w:rsidR="004D4D80" w:rsidRPr="00093C97">
        <w:rPr>
          <w:sz w:val="22"/>
          <w:szCs w:val="22"/>
          <w:vertAlign w:val="superscript"/>
        </w:rPr>
        <w:fldChar w:fldCharType="end"/>
      </w:r>
      <w:r w:rsidR="00E851F6" w:rsidRPr="00093C97">
        <w:rPr>
          <w:sz w:val="22"/>
          <w:szCs w:val="22"/>
        </w:rPr>
        <w:t>.</w:t>
      </w:r>
    </w:p>
    <w:p w14:paraId="257A13B2" w14:textId="77777777" w:rsidR="00BF0875" w:rsidRPr="00093C97" w:rsidRDefault="00BF0875" w:rsidP="00783ACD">
      <w:pPr>
        <w:pStyle w:val="ListParagraph"/>
        <w:widowControl w:val="0"/>
        <w:numPr>
          <w:ilvl w:val="0"/>
          <w:numId w:val="4"/>
        </w:numPr>
        <w:spacing w:after="140" w:line="240" w:lineRule="auto"/>
        <w:ind w:left="567" w:hanging="567"/>
        <w:contextualSpacing w:val="0"/>
        <w:rPr>
          <w:rFonts w:ascii="Gill Sans MT" w:hAnsi="Gill Sans MT"/>
        </w:rPr>
      </w:pPr>
      <w:r w:rsidRPr="00093C97">
        <w:rPr>
          <w:rFonts w:ascii="Gill Sans MT" w:hAnsi="Gill Sans MT"/>
        </w:rPr>
        <w:t xml:space="preserve">The Australian School Students Alcohol and Drug Survey (ASSAD) </w:t>
      </w:r>
      <w:r w:rsidR="003A218E" w:rsidRPr="00093C97">
        <w:rPr>
          <w:rFonts w:ascii="Gill Sans MT" w:hAnsi="Gill Sans MT"/>
        </w:rPr>
        <w:t xml:space="preserve">for Tasmania </w:t>
      </w:r>
      <w:r w:rsidRPr="00093C97">
        <w:rPr>
          <w:rFonts w:ascii="Gill Sans MT" w:hAnsi="Gill Sans MT"/>
        </w:rPr>
        <w:t xml:space="preserve">in 2014 shows that experience with alcohol increased with age, with ever use increasing from 58 per cent of 12- to 13- year </w:t>
      </w:r>
      <w:proofErr w:type="spellStart"/>
      <w:r w:rsidRPr="00093C97">
        <w:rPr>
          <w:rFonts w:ascii="Gill Sans MT" w:hAnsi="Gill Sans MT"/>
        </w:rPr>
        <w:t>olds</w:t>
      </w:r>
      <w:proofErr w:type="spellEnd"/>
      <w:r w:rsidRPr="00093C97">
        <w:rPr>
          <w:rFonts w:ascii="Gill Sans MT" w:hAnsi="Gill Sans MT"/>
        </w:rPr>
        <w:t xml:space="preserve"> to 95 per cent of 17-year </w:t>
      </w:r>
      <w:proofErr w:type="spellStart"/>
      <w:r w:rsidRPr="00093C97">
        <w:rPr>
          <w:rFonts w:ascii="Gill Sans MT" w:hAnsi="Gill Sans MT"/>
        </w:rPr>
        <w:t>olds</w:t>
      </w:r>
      <w:proofErr w:type="spellEnd"/>
      <w:r w:rsidRPr="00093C97">
        <w:rPr>
          <w:rFonts w:ascii="Gill Sans MT" w:hAnsi="Gill Sans MT"/>
        </w:rPr>
        <w:t xml:space="preserve">.  Since the 2008 survey there have been some encouraging trends. The proportion of 12- to 15 year </w:t>
      </w:r>
      <w:proofErr w:type="spellStart"/>
      <w:r w:rsidRPr="00093C97">
        <w:rPr>
          <w:rFonts w:ascii="Gill Sans MT" w:hAnsi="Gill Sans MT"/>
        </w:rPr>
        <w:t>olds</w:t>
      </w:r>
      <w:proofErr w:type="spellEnd"/>
      <w:r w:rsidRPr="00093C97">
        <w:rPr>
          <w:rFonts w:ascii="Gill Sans MT" w:hAnsi="Gill Sans MT"/>
        </w:rPr>
        <w:t xml:space="preserve"> drinking in their lifetime had decreased from 80 per cent in 2011 to 71 per cent in 2014, while the proportion of current drinkers 16- to 17- years </w:t>
      </w:r>
      <w:proofErr w:type="spellStart"/>
      <w:r w:rsidRPr="00093C97">
        <w:rPr>
          <w:rFonts w:ascii="Gill Sans MT" w:hAnsi="Gill Sans MT"/>
        </w:rPr>
        <w:t>olds</w:t>
      </w:r>
      <w:proofErr w:type="spellEnd"/>
      <w:r w:rsidRPr="00093C97">
        <w:rPr>
          <w:rFonts w:ascii="Gill Sans MT" w:hAnsi="Gill Sans MT"/>
        </w:rPr>
        <w:t xml:space="preserve"> drinking at risky levels has also decreased over time (2008: 56 per cent; 2011: 54 per cent; 2014: 39 per cent)</w:t>
      </w:r>
      <w:r w:rsidRPr="00093C97">
        <w:rPr>
          <w:rStyle w:val="EndnoteReference"/>
          <w:rFonts w:ascii="Gill Sans MT" w:hAnsi="Gill Sans MT"/>
        </w:rPr>
        <w:endnoteReference w:id="6"/>
      </w:r>
      <w:r w:rsidR="003A218E" w:rsidRPr="00093C97">
        <w:rPr>
          <w:rFonts w:ascii="Gill Sans MT" w:hAnsi="Gill Sans MT"/>
        </w:rPr>
        <w:t>.</w:t>
      </w:r>
    </w:p>
    <w:p w14:paraId="57526449" w14:textId="77777777" w:rsidR="00A012AF" w:rsidRPr="00093C97" w:rsidRDefault="00B10EAF" w:rsidP="00783ACD">
      <w:pPr>
        <w:pStyle w:val="ListParagraph"/>
        <w:widowControl w:val="0"/>
        <w:numPr>
          <w:ilvl w:val="0"/>
          <w:numId w:val="4"/>
        </w:numPr>
        <w:spacing w:after="140" w:line="240" w:lineRule="auto"/>
        <w:ind w:left="567" w:hanging="567"/>
        <w:contextualSpacing w:val="0"/>
        <w:rPr>
          <w:rFonts w:ascii="Gill Sans MT" w:hAnsi="Gill Sans MT"/>
          <w:lang w:eastAsia="en-AU"/>
        </w:rPr>
      </w:pPr>
      <w:r w:rsidRPr="00093C97">
        <w:rPr>
          <w:rFonts w:ascii="Gill Sans MT" w:hAnsi="Gill Sans MT"/>
        </w:rPr>
        <w:t xml:space="preserve">Alcohol attributable deaths and hospitalisations are derived by applying aetiologic fractions (the probability that a </w:t>
      </w:r>
      <w:proofErr w:type="gramStart"/>
      <w:r w:rsidRPr="00093C97">
        <w:rPr>
          <w:rFonts w:ascii="Gill Sans MT" w:hAnsi="Gill Sans MT"/>
        </w:rPr>
        <w:t>particular death</w:t>
      </w:r>
      <w:proofErr w:type="gramEnd"/>
      <w:r w:rsidRPr="00093C97">
        <w:rPr>
          <w:rFonts w:ascii="Gill Sans MT" w:hAnsi="Gill Sans MT"/>
        </w:rPr>
        <w:t xml:space="preserve"> or illness is associated with alcohol consumption) to population level mortality and morbidity data</w:t>
      </w:r>
      <w:r w:rsidRPr="00093C97">
        <w:rPr>
          <w:rFonts w:ascii="Gill Sans MT" w:hAnsi="Gill Sans MT"/>
          <w:lang w:eastAsia="en-AU"/>
        </w:rPr>
        <w:t xml:space="preserve">. Rates of hospitalisation are significantly higher </w:t>
      </w:r>
      <w:r w:rsidR="00A012AF" w:rsidRPr="00093C97">
        <w:rPr>
          <w:rFonts w:ascii="Gill Sans MT" w:hAnsi="Gill Sans MT"/>
          <w:lang w:eastAsia="en-AU"/>
        </w:rPr>
        <w:t>for</w:t>
      </w:r>
      <w:r w:rsidRPr="00093C97">
        <w:rPr>
          <w:rFonts w:ascii="Gill Sans MT" w:hAnsi="Gill Sans MT"/>
          <w:lang w:eastAsia="en-AU"/>
        </w:rPr>
        <w:t xml:space="preserve"> males than females in Tasmania, although the gap appears to have narrowed over the last decade, with rates for females increasing at 3% per year while rates for males have remained </w:t>
      </w:r>
      <w:proofErr w:type="gramStart"/>
      <w:r w:rsidRPr="00093C97">
        <w:rPr>
          <w:rFonts w:ascii="Gill Sans MT" w:hAnsi="Gill Sans MT"/>
          <w:lang w:eastAsia="en-AU"/>
        </w:rPr>
        <w:t>fairly stable</w:t>
      </w:r>
      <w:proofErr w:type="gramEnd"/>
      <w:r w:rsidRPr="00093C97">
        <w:rPr>
          <w:rFonts w:ascii="Gill Sans MT" w:hAnsi="Gill Sans MT"/>
          <w:lang w:eastAsia="en-AU"/>
        </w:rPr>
        <w:t>. In 2014-15 there were an estimated 5,210 hospitalisations (2</w:t>
      </w:r>
      <w:r w:rsidR="00A012AF" w:rsidRPr="00093C97">
        <w:rPr>
          <w:rFonts w:ascii="Gill Sans MT" w:hAnsi="Gill Sans MT"/>
          <w:lang w:eastAsia="en-AU"/>
        </w:rPr>
        <w:t>,</w:t>
      </w:r>
      <w:r w:rsidRPr="00093C97">
        <w:rPr>
          <w:rFonts w:ascii="Gill Sans MT" w:hAnsi="Gill Sans MT"/>
          <w:lang w:eastAsia="en-AU"/>
        </w:rPr>
        <w:t>797 men and 2</w:t>
      </w:r>
      <w:r w:rsidR="00A012AF" w:rsidRPr="00093C97">
        <w:rPr>
          <w:rFonts w:ascii="Gill Sans MT" w:hAnsi="Gill Sans MT"/>
          <w:lang w:eastAsia="en-AU"/>
        </w:rPr>
        <w:t>,413</w:t>
      </w:r>
      <w:r w:rsidRPr="00093C97">
        <w:rPr>
          <w:rFonts w:ascii="Gill Sans MT" w:hAnsi="Gill Sans MT"/>
          <w:lang w:eastAsia="en-AU"/>
        </w:rPr>
        <w:t xml:space="preserve"> women) attributable to alcohol</w:t>
      </w:r>
      <w:r w:rsidR="00A012AF" w:rsidRPr="00093C97">
        <w:rPr>
          <w:rStyle w:val="EndnoteReference"/>
          <w:rFonts w:ascii="Gill Sans MT" w:hAnsi="Gill Sans MT"/>
          <w:lang w:eastAsia="en-AU"/>
        </w:rPr>
        <w:endnoteReference w:id="7"/>
      </w:r>
      <w:r w:rsidRPr="00093C97">
        <w:rPr>
          <w:rFonts w:ascii="Gill Sans MT" w:hAnsi="Gill Sans MT"/>
          <w:lang w:eastAsia="en-AU"/>
        </w:rPr>
        <w:t>.</w:t>
      </w:r>
      <w:r w:rsidR="00A012AF" w:rsidRPr="00093C97">
        <w:rPr>
          <w:rFonts w:ascii="Gill Sans MT" w:hAnsi="Gill Sans MT"/>
          <w:lang w:eastAsia="en-AU"/>
        </w:rPr>
        <w:t xml:space="preserve"> </w:t>
      </w:r>
    </w:p>
    <w:p w14:paraId="0EDE2F72" w14:textId="77777777" w:rsidR="00B10EAF" w:rsidRPr="00093C97" w:rsidRDefault="00B10EAF" w:rsidP="00783ACD">
      <w:pPr>
        <w:pStyle w:val="ListParagraph"/>
        <w:widowControl w:val="0"/>
        <w:numPr>
          <w:ilvl w:val="0"/>
          <w:numId w:val="4"/>
        </w:numPr>
        <w:spacing w:after="140" w:line="240" w:lineRule="auto"/>
        <w:ind w:left="567" w:hanging="567"/>
        <w:contextualSpacing w:val="0"/>
        <w:rPr>
          <w:rFonts w:ascii="Gill Sans MT" w:hAnsi="Gill Sans MT"/>
          <w:lang w:eastAsia="en-AU"/>
        </w:rPr>
      </w:pPr>
      <w:r w:rsidRPr="00093C97">
        <w:rPr>
          <w:rFonts w:ascii="Gill Sans MT" w:hAnsi="Gill Sans MT"/>
        </w:rPr>
        <w:t xml:space="preserve">Estimating the true number of Emergency Department (ED) presentations secondary to alcohol-related harm is challenging </w:t>
      </w:r>
      <w:proofErr w:type="gramStart"/>
      <w:r w:rsidRPr="00093C97">
        <w:rPr>
          <w:rFonts w:ascii="Gill Sans MT" w:hAnsi="Gill Sans MT"/>
        </w:rPr>
        <w:t>due to the fact that</w:t>
      </w:r>
      <w:proofErr w:type="gramEnd"/>
      <w:r w:rsidRPr="00093C97">
        <w:rPr>
          <w:rFonts w:ascii="Gill Sans MT" w:hAnsi="Gill Sans MT"/>
        </w:rPr>
        <w:t xml:space="preserve"> presentations are not always coded as being alcohol related. Using a ‘primary diagnosis’ only, it is estimated that 0.5 per cent of all ED presentations in Tasmania are alcohol related, with 822 presentations in 2014-15 financial year. The rate per 100,000 population has increased significantly between 2005-06 and 2014-15 (</w:t>
      </w:r>
      <w:r w:rsidRPr="00093C97">
        <w:rPr>
          <w:rFonts w:ascii="Gill Sans MT" w:hAnsi="Gill Sans MT"/>
          <w:iCs/>
          <w:lang w:eastAsia="en-AU"/>
        </w:rPr>
        <w:t>average annual increase of 2.5 per cent [p&lt;0.001]). National studies in which more detailed assessment occurs reveal that approximately 8.3 per cent overall and 12 per cent at peak times of ED presentations are alcohol related</w:t>
      </w:r>
      <w:r w:rsidRPr="00093C97">
        <w:rPr>
          <w:rStyle w:val="EndnoteReference"/>
          <w:rFonts w:ascii="Gill Sans MT" w:hAnsi="Gill Sans MT"/>
          <w:iCs/>
          <w:lang w:eastAsia="en-AU"/>
        </w:rPr>
        <w:endnoteReference w:id="8"/>
      </w:r>
      <w:r w:rsidRPr="00093C97">
        <w:rPr>
          <w:rFonts w:ascii="Gill Sans MT" w:hAnsi="Gill Sans MT"/>
          <w:iCs/>
          <w:vertAlign w:val="superscript"/>
          <w:lang w:eastAsia="en-AU"/>
        </w:rPr>
        <w:t xml:space="preserve">, </w:t>
      </w:r>
      <w:r w:rsidRPr="00093C97">
        <w:rPr>
          <w:rStyle w:val="EndnoteReference"/>
          <w:rFonts w:ascii="Gill Sans MT" w:hAnsi="Gill Sans MT"/>
          <w:iCs/>
          <w:lang w:eastAsia="en-AU"/>
        </w:rPr>
        <w:endnoteReference w:id="9"/>
      </w:r>
      <w:r w:rsidRPr="00093C97">
        <w:rPr>
          <w:rFonts w:ascii="Gill Sans MT" w:hAnsi="Gill Sans MT"/>
          <w:iCs/>
          <w:lang w:eastAsia="en-AU"/>
        </w:rPr>
        <w:t>.</w:t>
      </w:r>
    </w:p>
    <w:p w14:paraId="7CCEE39B" w14:textId="77777777" w:rsidR="00544043" w:rsidRPr="00093C97" w:rsidRDefault="002D610F" w:rsidP="00783ACD">
      <w:pPr>
        <w:pStyle w:val="BulletedListLevel1"/>
        <w:keepLines w:val="0"/>
        <w:widowControl w:val="0"/>
        <w:numPr>
          <w:ilvl w:val="0"/>
          <w:numId w:val="4"/>
        </w:numPr>
        <w:spacing w:line="240" w:lineRule="auto"/>
        <w:ind w:left="567" w:hanging="567"/>
        <w:rPr>
          <w:sz w:val="22"/>
          <w:szCs w:val="22"/>
        </w:rPr>
      </w:pPr>
      <w:r w:rsidRPr="00093C97">
        <w:rPr>
          <w:sz w:val="22"/>
          <w:szCs w:val="22"/>
          <w:lang w:eastAsia="en-AU"/>
        </w:rPr>
        <w:t>I</w:t>
      </w:r>
      <w:r w:rsidRPr="00093C97">
        <w:rPr>
          <w:sz w:val="22"/>
          <w:szCs w:val="22"/>
        </w:rPr>
        <w:t>n Tasmania in 2010, there were an estimated 155 deaths attributable to alcohol and 2 636 hospitalisations</w:t>
      </w:r>
      <w:r w:rsidRPr="00093C97">
        <w:rPr>
          <w:rStyle w:val="EndnoteReference"/>
          <w:sz w:val="22"/>
          <w:szCs w:val="22"/>
        </w:rPr>
        <w:endnoteReference w:id="10"/>
      </w:r>
      <w:r w:rsidRPr="00093C97">
        <w:rPr>
          <w:sz w:val="22"/>
          <w:szCs w:val="22"/>
        </w:rPr>
        <w:t>.</w:t>
      </w:r>
    </w:p>
    <w:p w14:paraId="27FE9E2E" w14:textId="77777777" w:rsidR="00070FF0" w:rsidRPr="00093C97" w:rsidRDefault="00070FF0" w:rsidP="00783ACD">
      <w:pPr>
        <w:pStyle w:val="BulletedListLevel1"/>
        <w:keepLines w:val="0"/>
        <w:widowControl w:val="0"/>
        <w:numPr>
          <w:ilvl w:val="0"/>
          <w:numId w:val="4"/>
        </w:numPr>
        <w:spacing w:line="240" w:lineRule="auto"/>
        <w:ind w:left="567" w:hanging="567"/>
        <w:rPr>
          <w:sz w:val="22"/>
          <w:szCs w:val="22"/>
        </w:rPr>
      </w:pPr>
      <w:r w:rsidRPr="00093C97">
        <w:rPr>
          <w:sz w:val="22"/>
          <w:szCs w:val="22"/>
        </w:rPr>
        <w:t xml:space="preserve">Opioid-related hospital separations in Tasmania have increased since 2009-10, with 394 separations </w:t>
      </w:r>
      <w:r w:rsidR="00D90A37" w:rsidRPr="00093C97">
        <w:rPr>
          <w:sz w:val="22"/>
          <w:szCs w:val="22"/>
        </w:rPr>
        <w:t>p</w:t>
      </w:r>
      <w:r w:rsidRPr="00093C97">
        <w:rPr>
          <w:sz w:val="22"/>
          <w:szCs w:val="22"/>
        </w:rPr>
        <w:t>er million persons in 2013-14 compared to 265 per million persons in the past few years</w:t>
      </w:r>
      <w:r w:rsidRPr="00093C97">
        <w:rPr>
          <w:rStyle w:val="EndnoteReference"/>
          <w:sz w:val="22"/>
          <w:szCs w:val="22"/>
        </w:rPr>
        <w:endnoteReference w:id="11"/>
      </w:r>
      <w:r w:rsidRPr="00093C97">
        <w:rPr>
          <w:sz w:val="22"/>
          <w:szCs w:val="22"/>
        </w:rPr>
        <w:t>.</w:t>
      </w:r>
      <w:r w:rsidR="009B00BE" w:rsidRPr="00093C97">
        <w:rPr>
          <w:sz w:val="22"/>
          <w:szCs w:val="22"/>
        </w:rPr>
        <w:t xml:space="preserve">  Tasmania and the ACT recorded the lowest rate of amphetamine-related separations relative to other jurisdictions (146 and 122 separations per million persons respectively).  Tasmania recorded the second highest rates </w:t>
      </w:r>
      <w:r w:rsidR="00FF748F" w:rsidRPr="00093C97">
        <w:rPr>
          <w:sz w:val="22"/>
          <w:szCs w:val="22"/>
        </w:rPr>
        <w:t xml:space="preserve">of cannabis-related separations, with the increase to </w:t>
      </w:r>
      <w:r w:rsidR="009B00BE" w:rsidRPr="00093C97">
        <w:rPr>
          <w:sz w:val="22"/>
          <w:szCs w:val="22"/>
        </w:rPr>
        <w:t xml:space="preserve">2013-14 </w:t>
      </w:r>
      <w:r w:rsidR="00FF748F" w:rsidRPr="00093C97">
        <w:rPr>
          <w:sz w:val="22"/>
          <w:szCs w:val="22"/>
        </w:rPr>
        <w:t>driven</w:t>
      </w:r>
      <w:r w:rsidR="009B00BE" w:rsidRPr="00093C97">
        <w:rPr>
          <w:sz w:val="22"/>
          <w:szCs w:val="22"/>
        </w:rPr>
        <w:t xml:space="preserve"> by separations for cannabis dependence (accounting for 51% of separations</w:t>
      </w:r>
      <w:r w:rsidR="00FF748F" w:rsidRPr="00093C97">
        <w:rPr>
          <w:sz w:val="22"/>
          <w:szCs w:val="22"/>
        </w:rPr>
        <w:t>)</w:t>
      </w:r>
      <w:r w:rsidR="009B00BE" w:rsidRPr="00093C97">
        <w:rPr>
          <w:sz w:val="22"/>
          <w:szCs w:val="22"/>
        </w:rPr>
        <w:t xml:space="preserve">. </w:t>
      </w:r>
    </w:p>
    <w:p w14:paraId="6E0721B3" w14:textId="77777777" w:rsidR="002D610F" w:rsidRPr="00093C97" w:rsidRDefault="002D610F" w:rsidP="00783ACD">
      <w:pPr>
        <w:pStyle w:val="BulletedListLevel1"/>
        <w:keepLines w:val="0"/>
        <w:widowControl w:val="0"/>
        <w:numPr>
          <w:ilvl w:val="0"/>
          <w:numId w:val="4"/>
        </w:numPr>
        <w:spacing w:line="240" w:lineRule="auto"/>
        <w:ind w:left="567" w:hanging="567"/>
        <w:rPr>
          <w:sz w:val="22"/>
          <w:szCs w:val="22"/>
        </w:rPr>
      </w:pPr>
      <w:r w:rsidRPr="00093C97">
        <w:rPr>
          <w:sz w:val="22"/>
          <w:szCs w:val="22"/>
        </w:rPr>
        <w:t xml:space="preserve">The wider use of alcohol and cannabis is reflected in the number of drug and alcohol </w:t>
      </w:r>
      <w:r w:rsidRPr="00093C97">
        <w:rPr>
          <w:sz w:val="22"/>
          <w:szCs w:val="22"/>
        </w:rPr>
        <w:lastRenderedPageBreak/>
        <w:t xml:space="preserve">treatment service episodes, with alcohol the most common principal drug of concern in </w:t>
      </w:r>
      <w:r w:rsidR="00400A86" w:rsidRPr="00093C97">
        <w:rPr>
          <w:sz w:val="22"/>
          <w:szCs w:val="22"/>
        </w:rPr>
        <w:t xml:space="preserve">39 per cent of closed </w:t>
      </w:r>
      <w:r w:rsidRPr="00093C97">
        <w:rPr>
          <w:sz w:val="22"/>
          <w:szCs w:val="22"/>
        </w:rPr>
        <w:t>episodes provided to cl</w:t>
      </w:r>
      <w:r w:rsidR="00EB2B1C" w:rsidRPr="00093C97">
        <w:rPr>
          <w:sz w:val="22"/>
          <w:szCs w:val="22"/>
        </w:rPr>
        <w:t xml:space="preserve">ients for their own drug use </w:t>
      </w:r>
      <w:r w:rsidR="00400A86" w:rsidRPr="00093C97">
        <w:rPr>
          <w:sz w:val="22"/>
          <w:szCs w:val="22"/>
        </w:rPr>
        <w:t>in 2015-16</w:t>
      </w:r>
      <w:r w:rsidRPr="00093C97">
        <w:rPr>
          <w:rStyle w:val="EndnoteReference"/>
          <w:sz w:val="22"/>
          <w:szCs w:val="22"/>
        </w:rPr>
        <w:endnoteReference w:id="12"/>
      </w:r>
      <w:r w:rsidRPr="00093C97">
        <w:rPr>
          <w:sz w:val="22"/>
          <w:szCs w:val="22"/>
        </w:rPr>
        <w:t>.  This is closely followed by c</w:t>
      </w:r>
      <w:r w:rsidR="00400A86" w:rsidRPr="00093C97">
        <w:rPr>
          <w:sz w:val="22"/>
          <w:szCs w:val="22"/>
        </w:rPr>
        <w:t>annabinoids</w:t>
      </w:r>
      <w:r w:rsidRPr="00093C97">
        <w:rPr>
          <w:sz w:val="22"/>
          <w:szCs w:val="22"/>
        </w:rPr>
        <w:t xml:space="preserve">, accounting for </w:t>
      </w:r>
      <w:r w:rsidR="00400A86" w:rsidRPr="00093C97">
        <w:rPr>
          <w:sz w:val="22"/>
          <w:szCs w:val="22"/>
        </w:rPr>
        <w:t>26</w:t>
      </w:r>
      <w:r w:rsidRPr="00093C97">
        <w:rPr>
          <w:sz w:val="22"/>
          <w:szCs w:val="22"/>
        </w:rPr>
        <w:t xml:space="preserve"> per cent of episodes.  </w:t>
      </w:r>
    </w:p>
    <w:p w14:paraId="22A4CBD0" w14:textId="77777777" w:rsidR="0007676C" w:rsidRPr="00093C97" w:rsidRDefault="00282F6C" w:rsidP="00783ACD">
      <w:pPr>
        <w:pStyle w:val="BulletedListLevel1"/>
        <w:keepLines w:val="0"/>
        <w:widowControl w:val="0"/>
        <w:numPr>
          <w:ilvl w:val="0"/>
          <w:numId w:val="4"/>
        </w:numPr>
        <w:spacing w:line="240" w:lineRule="auto"/>
        <w:ind w:left="567" w:hanging="567"/>
        <w:rPr>
          <w:sz w:val="22"/>
          <w:szCs w:val="22"/>
        </w:rPr>
      </w:pPr>
      <w:r w:rsidRPr="00093C97">
        <w:rPr>
          <w:sz w:val="22"/>
          <w:szCs w:val="22"/>
        </w:rPr>
        <w:t>Amphetamines (2</w:t>
      </w:r>
      <w:r w:rsidR="00400A86" w:rsidRPr="00093C97">
        <w:rPr>
          <w:sz w:val="22"/>
          <w:szCs w:val="22"/>
        </w:rPr>
        <w:t>2</w:t>
      </w:r>
      <w:r w:rsidR="0007676C" w:rsidRPr="00093C97">
        <w:rPr>
          <w:sz w:val="22"/>
          <w:szCs w:val="22"/>
        </w:rPr>
        <w:t xml:space="preserve"> per cent) and </w:t>
      </w:r>
      <w:r w:rsidR="00400A86" w:rsidRPr="00093C97">
        <w:rPr>
          <w:sz w:val="22"/>
          <w:szCs w:val="22"/>
        </w:rPr>
        <w:t>pharmaceutical opioids (9</w:t>
      </w:r>
      <w:r w:rsidR="0007676C" w:rsidRPr="00093C97">
        <w:rPr>
          <w:sz w:val="22"/>
          <w:szCs w:val="22"/>
        </w:rPr>
        <w:t xml:space="preserve"> per cent) were the next most common principal drug</w:t>
      </w:r>
      <w:r w:rsidR="00400A86" w:rsidRPr="00093C97">
        <w:rPr>
          <w:sz w:val="22"/>
          <w:szCs w:val="22"/>
        </w:rPr>
        <w:t>s of concern in Tasmania in 2015-16</w:t>
      </w:r>
      <w:r w:rsidR="0007676C" w:rsidRPr="00093C97">
        <w:rPr>
          <w:sz w:val="22"/>
          <w:szCs w:val="22"/>
        </w:rPr>
        <w:t>, which is consistent with the national averages</w:t>
      </w:r>
      <w:r w:rsidR="00400A86" w:rsidRPr="00093C97">
        <w:rPr>
          <w:sz w:val="22"/>
          <w:szCs w:val="22"/>
        </w:rPr>
        <w:t xml:space="preserve">.  </w:t>
      </w:r>
    </w:p>
    <w:p w14:paraId="272BA0BD" w14:textId="77777777" w:rsidR="00282F6C" w:rsidRPr="00093C97" w:rsidRDefault="00282F6C" w:rsidP="00783ACD">
      <w:pPr>
        <w:pStyle w:val="BulletedListLevel1"/>
        <w:keepLines w:val="0"/>
        <w:widowControl w:val="0"/>
        <w:numPr>
          <w:ilvl w:val="0"/>
          <w:numId w:val="37"/>
        </w:numPr>
        <w:spacing w:line="240" w:lineRule="auto"/>
        <w:ind w:left="567" w:hanging="567"/>
        <w:rPr>
          <w:sz w:val="22"/>
          <w:szCs w:val="22"/>
        </w:rPr>
      </w:pPr>
      <w:r w:rsidRPr="00093C97">
        <w:rPr>
          <w:sz w:val="22"/>
          <w:szCs w:val="22"/>
        </w:rPr>
        <w:t xml:space="preserve">In </w:t>
      </w:r>
      <w:r w:rsidR="002358AD" w:rsidRPr="00093C97">
        <w:rPr>
          <w:sz w:val="22"/>
          <w:szCs w:val="22"/>
        </w:rPr>
        <w:t>the five (5) years fro</w:t>
      </w:r>
      <w:r w:rsidRPr="00093C97">
        <w:rPr>
          <w:sz w:val="22"/>
          <w:szCs w:val="22"/>
        </w:rPr>
        <w:t>m 2011-12 amphetamines as the principal drug of concern has more than doubled, from 8.6 per cent in 2011-12 to 22 per cent in 2015-16.  This compares with cannabinoids which has reduced from 35 to 26 per cent, and alcohol which has remained relatively unchanged at 39 - 40 per cent over that period.</w:t>
      </w:r>
    </w:p>
    <w:p w14:paraId="4FC232A6" w14:textId="77777777" w:rsidR="00833291" w:rsidRPr="00093C97" w:rsidRDefault="00833291" w:rsidP="00783ACD">
      <w:pPr>
        <w:pStyle w:val="ListParagraph"/>
        <w:widowControl w:val="0"/>
        <w:numPr>
          <w:ilvl w:val="0"/>
          <w:numId w:val="37"/>
        </w:numPr>
        <w:spacing w:after="140" w:line="240" w:lineRule="auto"/>
        <w:ind w:left="567" w:hanging="567"/>
        <w:contextualSpacing w:val="0"/>
        <w:rPr>
          <w:rFonts w:ascii="Gill Sans MT" w:hAnsi="Gill Sans MT"/>
        </w:rPr>
      </w:pPr>
      <w:r w:rsidRPr="00093C97">
        <w:rPr>
          <w:rFonts w:ascii="Gill Sans MT" w:hAnsi="Gill Sans MT" w:cs="Calibri"/>
          <w:color w:val="000000"/>
        </w:rPr>
        <w:t>The 2016 NWDMP wastewater report</w:t>
      </w:r>
      <w:r w:rsidRPr="00093C97">
        <w:rPr>
          <w:rStyle w:val="EndnoteReference"/>
          <w:rFonts w:ascii="Gill Sans MT" w:hAnsi="Gill Sans MT" w:cs="Calibri"/>
          <w:color w:val="000000"/>
        </w:rPr>
        <w:endnoteReference w:id="13"/>
      </w:r>
      <w:r w:rsidRPr="00093C97">
        <w:rPr>
          <w:rFonts w:ascii="Gill Sans MT" w:hAnsi="Gill Sans MT" w:cs="Calibri"/>
          <w:color w:val="000000"/>
        </w:rPr>
        <w:t xml:space="preserve">  analysis conducted in the latter half of 2016 shows that Tasmanian capital city sites had the lowest methylamphetamine consumption levels nationwide, although some regional sites recorded high levels. However, the Tasmanian regional sites average for MDMA (ecstasy) was the highest nationwide.  Per capita consumption of tobacco</w:t>
      </w:r>
      <w:r w:rsidR="007E48F2" w:rsidRPr="00093C97">
        <w:rPr>
          <w:rFonts w:ascii="Gill Sans MT" w:hAnsi="Gill Sans MT" w:cs="Calibri"/>
          <w:color w:val="000000"/>
        </w:rPr>
        <w:t xml:space="preserve"> and alcohol</w:t>
      </w:r>
      <w:r w:rsidRPr="00093C97">
        <w:rPr>
          <w:rFonts w:ascii="Gill Sans MT" w:hAnsi="Gill Sans MT" w:cs="Calibri"/>
          <w:color w:val="000000"/>
        </w:rPr>
        <w:t xml:space="preserve"> in some sites in regional Tasmania were </w:t>
      </w:r>
      <w:r w:rsidR="00E674D0" w:rsidRPr="00093C97">
        <w:rPr>
          <w:rFonts w:ascii="Gill Sans MT" w:hAnsi="Gill Sans MT" w:cs="Calibri"/>
          <w:color w:val="000000"/>
        </w:rPr>
        <w:t xml:space="preserve">also </w:t>
      </w:r>
      <w:r w:rsidRPr="00093C97">
        <w:rPr>
          <w:rFonts w:ascii="Gill Sans MT" w:hAnsi="Gill Sans MT" w:cs="Calibri"/>
          <w:color w:val="000000"/>
        </w:rPr>
        <w:t>substantially above the national average</w:t>
      </w:r>
      <w:r w:rsidR="00CB08F1" w:rsidRPr="00093C97">
        <w:rPr>
          <w:rFonts w:ascii="Gill Sans MT" w:hAnsi="Gill Sans MT" w:cs="Calibri"/>
          <w:color w:val="000000"/>
        </w:rPr>
        <w:t>s.</w:t>
      </w:r>
    </w:p>
    <w:p w14:paraId="681DE8CA" w14:textId="77777777" w:rsidR="001476DF" w:rsidRPr="00093C97" w:rsidRDefault="001476DF" w:rsidP="00783ACD">
      <w:pPr>
        <w:pStyle w:val="ListParagraph"/>
        <w:widowControl w:val="0"/>
        <w:numPr>
          <w:ilvl w:val="0"/>
          <w:numId w:val="4"/>
        </w:numPr>
        <w:autoSpaceDE w:val="0"/>
        <w:autoSpaceDN w:val="0"/>
        <w:adjustRightInd w:val="0"/>
        <w:spacing w:after="140" w:line="240" w:lineRule="auto"/>
        <w:ind w:left="567" w:hanging="567"/>
        <w:contextualSpacing w:val="0"/>
        <w:rPr>
          <w:rFonts w:ascii="Gill Sans MT" w:hAnsi="Gill Sans MT" w:cs="GillSans-Light"/>
        </w:rPr>
      </w:pPr>
      <w:r w:rsidRPr="00093C97">
        <w:rPr>
          <w:rFonts w:ascii="Gill Sans MT" w:hAnsi="Gill Sans MT" w:cs="GillSans-Light"/>
        </w:rPr>
        <w:t>In 2016-17, police recorded 489 serious drug offenders</w:t>
      </w:r>
      <w:r w:rsidR="00C2312F" w:rsidRPr="00093C97">
        <w:rPr>
          <w:rStyle w:val="EndnoteReference"/>
          <w:rFonts w:ascii="Gill Sans MT" w:hAnsi="Gill Sans MT" w:cs="GillSans-Light"/>
        </w:rPr>
        <w:endnoteReference w:id="14"/>
      </w:r>
      <w:r w:rsidRPr="00093C97">
        <w:rPr>
          <w:rFonts w:ascii="Gill Sans MT" w:hAnsi="Gill Sans MT" w:cs="GillSans-Light"/>
        </w:rPr>
        <w:t>.  With the change in scope, this represents a</w:t>
      </w:r>
      <w:r w:rsidR="00C10F7D" w:rsidRPr="00093C97">
        <w:rPr>
          <w:rFonts w:ascii="Gill Sans MT" w:hAnsi="Gill Sans MT" w:cs="GillSans-Light"/>
        </w:rPr>
        <w:t xml:space="preserve"> </w:t>
      </w:r>
      <w:r w:rsidR="00672CE9" w:rsidRPr="00093C97">
        <w:rPr>
          <w:rFonts w:ascii="Gill Sans MT" w:hAnsi="Gill Sans MT" w:cs="GillSans-Light"/>
        </w:rPr>
        <w:t>19 per cent</w:t>
      </w:r>
      <w:r w:rsidRPr="00093C97">
        <w:rPr>
          <w:rFonts w:ascii="Gill Sans MT" w:hAnsi="Gill Sans MT" w:cs="GillSans-Light"/>
        </w:rPr>
        <w:t xml:space="preserve"> increase on the previous year’s figure. Police also recorded 2,490 non-serious drug offenders, with 2,596 total drug offenders recorded in 2016-17.</w:t>
      </w:r>
      <w:r w:rsidR="00672CE9" w:rsidRPr="00093C97">
        <w:rPr>
          <w:rFonts w:ascii="Gill Sans MT" w:hAnsi="Gill Sans MT" w:cs="GillSans-Light"/>
        </w:rPr>
        <w:t xml:space="preserve">  The majority (65 per cent</w:t>
      </w:r>
      <w:r w:rsidRPr="00093C97">
        <w:rPr>
          <w:rFonts w:ascii="Gill Sans MT" w:hAnsi="Gill Sans MT" w:cs="GillSans-Light"/>
        </w:rPr>
        <w:t>) were for cannabis and derivatives, followed by methamp</w:t>
      </w:r>
      <w:r w:rsidR="00672CE9" w:rsidRPr="00093C97">
        <w:rPr>
          <w:rFonts w:ascii="Gill Sans MT" w:hAnsi="Gill Sans MT" w:cs="GillSans-Light"/>
        </w:rPr>
        <w:t>hetamines and derivatives at 30 per cent</w:t>
      </w:r>
      <w:r w:rsidRPr="00093C97">
        <w:rPr>
          <w:rFonts w:ascii="Gill Sans MT" w:hAnsi="Gill Sans MT" w:cs="GillSans-Light"/>
        </w:rPr>
        <w:t>.</w:t>
      </w:r>
    </w:p>
    <w:p w14:paraId="5E786918" w14:textId="77777777" w:rsidR="001476DF" w:rsidRPr="00093C97" w:rsidRDefault="001476DF" w:rsidP="00783ACD">
      <w:pPr>
        <w:pStyle w:val="ListParagraph"/>
        <w:widowControl w:val="0"/>
        <w:numPr>
          <w:ilvl w:val="0"/>
          <w:numId w:val="4"/>
        </w:numPr>
        <w:autoSpaceDE w:val="0"/>
        <w:autoSpaceDN w:val="0"/>
        <w:adjustRightInd w:val="0"/>
        <w:spacing w:after="140" w:line="240" w:lineRule="auto"/>
        <w:ind w:left="567" w:hanging="567"/>
        <w:contextualSpacing w:val="0"/>
        <w:rPr>
          <w:rFonts w:ascii="Gill Sans MT" w:hAnsi="Gill Sans MT" w:cs="GillSans-Light"/>
          <w:color w:val="000000"/>
        </w:rPr>
      </w:pPr>
      <w:r w:rsidRPr="00093C97">
        <w:rPr>
          <w:rFonts w:ascii="Gill Sans MT" w:hAnsi="Gill Sans MT" w:cs="GillSans-Light"/>
          <w:color w:val="000000"/>
        </w:rPr>
        <w:t>Tasmania Police conducted 505,445 Random Breath Tests</w:t>
      </w:r>
      <w:r w:rsidR="00036896" w:rsidRPr="00093C97">
        <w:rPr>
          <w:rFonts w:ascii="Gill Sans MT" w:hAnsi="Gill Sans MT" w:cs="GillSans-Light"/>
          <w:color w:val="000000"/>
        </w:rPr>
        <w:t xml:space="preserve"> in 2016-17</w:t>
      </w:r>
      <w:r w:rsidRPr="00093C97">
        <w:rPr>
          <w:rFonts w:ascii="Gill Sans MT" w:hAnsi="Gill Sans MT" w:cs="GillSans-Light"/>
          <w:color w:val="000000"/>
        </w:rPr>
        <w:t>, which resulted in 2,187 drivers being charged with exceeding the prescribed alcohol limit or driving under the influence of intoxicating liquor. There were 84 drivers charged with refusing to provide a breath or blood sample for analysis, an increase from 77 drivers in the previous reporting period.</w:t>
      </w:r>
    </w:p>
    <w:p w14:paraId="4C64A425" w14:textId="77777777" w:rsidR="001476DF" w:rsidRPr="00093C97" w:rsidRDefault="001476DF" w:rsidP="00783ACD">
      <w:pPr>
        <w:pStyle w:val="ListParagraph"/>
        <w:widowControl w:val="0"/>
        <w:numPr>
          <w:ilvl w:val="0"/>
          <w:numId w:val="4"/>
        </w:numPr>
        <w:autoSpaceDE w:val="0"/>
        <w:autoSpaceDN w:val="0"/>
        <w:adjustRightInd w:val="0"/>
        <w:spacing w:after="140" w:line="240" w:lineRule="auto"/>
        <w:ind w:left="567" w:hanging="567"/>
        <w:contextualSpacing w:val="0"/>
        <w:rPr>
          <w:rFonts w:ascii="Gill Sans MT" w:hAnsi="Gill Sans MT" w:cs="GillSans-Light"/>
        </w:rPr>
      </w:pPr>
      <w:r w:rsidRPr="00093C97">
        <w:rPr>
          <w:rFonts w:ascii="Gill Sans MT" w:hAnsi="Gill Sans MT" w:cs="GillSans-Light"/>
          <w:color w:val="000000"/>
        </w:rPr>
        <w:t xml:space="preserve">In 2016-17, </w:t>
      </w:r>
      <w:r w:rsidR="00036896" w:rsidRPr="00093C97">
        <w:rPr>
          <w:rFonts w:ascii="Gill Sans MT" w:hAnsi="Gill Sans MT" w:cs="GillSans-Light"/>
          <w:color w:val="000000"/>
        </w:rPr>
        <w:t xml:space="preserve">Tasmania Police conducted </w:t>
      </w:r>
      <w:r w:rsidRPr="00093C97">
        <w:rPr>
          <w:rFonts w:ascii="Gill Sans MT" w:hAnsi="Gill Sans MT" w:cs="GillSans-Light"/>
          <w:color w:val="000000"/>
        </w:rPr>
        <w:t xml:space="preserve">3,726 </w:t>
      </w:r>
      <w:r w:rsidR="00672CE9" w:rsidRPr="00093C97">
        <w:rPr>
          <w:rFonts w:ascii="Gill Sans MT" w:hAnsi="Gill Sans MT" w:cs="GillSans-Light"/>
          <w:color w:val="000000"/>
        </w:rPr>
        <w:t>Oral Fluid Tests</w:t>
      </w:r>
      <w:r w:rsidRPr="00093C97">
        <w:rPr>
          <w:rFonts w:ascii="Gill Sans MT" w:hAnsi="Gill Sans MT" w:cs="GillSans-Light"/>
          <w:color w:val="000000"/>
        </w:rPr>
        <w:t xml:space="preserve"> </w:t>
      </w:r>
      <w:r w:rsidR="00672CE9" w:rsidRPr="00093C97">
        <w:rPr>
          <w:rFonts w:ascii="Gill Sans MT" w:hAnsi="Gill Sans MT" w:cs="GillSans-Light"/>
          <w:color w:val="000000"/>
        </w:rPr>
        <w:t>to detect the presence of proscribed drugs in drivers</w:t>
      </w:r>
      <w:r w:rsidRPr="00093C97">
        <w:rPr>
          <w:rFonts w:ascii="Gill Sans MT" w:hAnsi="Gill Sans MT" w:cs="GillSans-Light"/>
          <w:color w:val="000000"/>
        </w:rPr>
        <w:t xml:space="preserve">, representing a marginal decrease from 3,738 in 2015-16. </w:t>
      </w:r>
      <w:r w:rsidR="00672CE9" w:rsidRPr="00093C97">
        <w:rPr>
          <w:rFonts w:ascii="Gill Sans MT" w:hAnsi="Gill Sans MT" w:cs="GillSans-Light"/>
          <w:color w:val="000000"/>
        </w:rPr>
        <w:t xml:space="preserve"> </w:t>
      </w:r>
      <w:r w:rsidRPr="00093C97">
        <w:rPr>
          <w:rFonts w:ascii="Gill Sans MT" w:hAnsi="Gill Sans MT" w:cs="GillSans-Light"/>
          <w:color w:val="000000"/>
        </w:rPr>
        <w:t>2,152 drivers were required to undergo a confirmatory blood test with 2,055 drivers confirmed to be driving under the influence of a proscribed illicit drug in their system. At 30 June 2017, 191 blood results were still pending analysis.</w:t>
      </w:r>
    </w:p>
    <w:tbl>
      <w:tblPr>
        <w:tblStyle w:val="TableGrid"/>
        <w:tblW w:w="5000" w:type="pct"/>
        <w:tblLook w:val="04A0" w:firstRow="1" w:lastRow="0" w:firstColumn="1" w:lastColumn="0" w:noHBand="0" w:noVBand="1"/>
      </w:tblPr>
      <w:tblGrid>
        <w:gridCol w:w="2172"/>
        <w:gridCol w:w="1372"/>
        <w:gridCol w:w="1374"/>
        <w:gridCol w:w="1372"/>
        <w:gridCol w:w="1374"/>
        <w:gridCol w:w="1374"/>
      </w:tblGrid>
      <w:tr w:rsidR="00036896" w:rsidRPr="00093C97" w14:paraId="19C4F7F6" w14:textId="77777777" w:rsidTr="00093C97">
        <w:trPr>
          <w:tblHeader/>
        </w:trPr>
        <w:tc>
          <w:tcPr>
            <w:tcW w:w="1201" w:type="pct"/>
          </w:tcPr>
          <w:p w14:paraId="4BFA04E5" w14:textId="77777777" w:rsidR="00036896" w:rsidRPr="00093C97" w:rsidRDefault="00036896" w:rsidP="00783ACD">
            <w:pPr>
              <w:widowControl w:val="0"/>
              <w:autoSpaceDE w:val="0"/>
              <w:autoSpaceDN w:val="0"/>
              <w:adjustRightInd w:val="0"/>
              <w:spacing w:after="140"/>
              <w:rPr>
                <w:rFonts w:ascii="Gill Sans MT" w:hAnsi="Gill Sans MT" w:cs="GillSans-Light"/>
                <w:b/>
                <w:sz w:val="18"/>
                <w:szCs w:val="18"/>
              </w:rPr>
            </w:pPr>
            <w:r w:rsidRPr="00093C97">
              <w:rPr>
                <w:rFonts w:ascii="Gill Sans MT" w:hAnsi="Gill Sans MT" w:cs="GillSans-Light"/>
                <w:b/>
                <w:sz w:val="18"/>
                <w:szCs w:val="18"/>
              </w:rPr>
              <w:t>DPFEM Budget Paper Performance Measure</w:t>
            </w:r>
          </w:p>
        </w:tc>
        <w:tc>
          <w:tcPr>
            <w:tcW w:w="759" w:type="pct"/>
            <w:vAlign w:val="center"/>
          </w:tcPr>
          <w:p w14:paraId="519A9CC8" w14:textId="77777777" w:rsidR="00036896" w:rsidRPr="00093C97" w:rsidRDefault="00036896" w:rsidP="00783ACD">
            <w:pPr>
              <w:widowControl w:val="0"/>
              <w:autoSpaceDE w:val="0"/>
              <w:autoSpaceDN w:val="0"/>
              <w:adjustRightInd w:val="0"/>
              <w:spacing w:after="140"/>
              <w:jc w:val="center"/>
              <w:rPr>
                <w:rFonts w:ascii="Gill Sans MT" w:hAnsi="Gill Sans MT" w:cs="GillSans-Light"/>
                <w:b/>
                <w:sz w:val="18"/>
                <w:szCs w:val="18"/>
              </w:rPr>
            </w:pPr>
            <w:r w:rsidRPr="00093C97">
              <w:rPr>
                <w:rFonts w:ascii="Gill Sans MT" w:hAnsi="Gill Sans MT" w:cs="GillSans-Light"/>
                <w:b/>
                <w:sz w:val="18"/>
                <w:szCs w:val="18"/>
              </w:rPr>
              <w:t>Unit of measure</w:t>
            </w:r>
          </w:p>
        </w:tc>
        <w:tc>
          <w:tcPr>
            <w:tcW w:w="760" w:type="pct"/>
            <w:vAlign w:val="center"/>
          </w:tcPr>
          <w:p w14:paraId="337D8B75" w14:textId="77777777" w:rsidR="00036896" w:rsidRPr="00093C97" w:rsidRDefault="00036896" w:rsidP="00783ACD">
            <w:pPr>
              <w:widowControl w:val="0"/>
              <w:autoSpaceDE w:val="0"/>
              <w:autoSpaceDN w:val="0"/>
              <w:adjustRightInd w:val="0"/>
              <w:spacing w:after="140"/>
              <w:jc w:val="center"/>
              <w:rPr>
                <w:rFonts w:ascii="Gill Sans MT" w:hAnsi="Gill Sans MT" w:cs="GillSans-Light"/>
                <w:b/>
                <w:sz w:val="18"/>
                <w:szCs w:val="18"/>
              </w:rPr>
            </w:pPr>
            <w:r w:rsidRPr="00093C97">
              <w:rPr>
                <w:rFonts w:ascii="Gill Sans MT" w:hAnsi="Gill Sans MT" w:cs="GillSans-Light"/>
                <w:b/>
                <w:sz w:val="18"/>
                <w:szCs w:val="18"/>
              </w:rPr>
              <w:t>2014-2015 actual</w:t>
            </w:r>
            <w:r w:rsidRPr="00093C97">
              <w:rPr>
                <w:rStyle w:val="FootnoteReference"/>
                <w:rFonts w:ascii="Gill Sans MT" w:hAnsi="Gill Sans MT" w:cs="GillSans-Light"/>
                <w:b/>
                <w:sz w:val="18"/>
                <w:szCs w:val="18"/>
              </w:rPr>
              <w:footnoteReference w:id="6"/>
            </w:r>
          </w:p>
        </w:tc>
        <w:tc>
          <w:tcPr>
            <w:tcW w:w="759" w:type="pct"/>
            <w:vAlign w:val="center"/>
          </w:tcPr>
          <w:p w14:paraId="725BE96F" w14:textId="77777777" w:rsidR="00036896" w:rsidRPr="00093C97" w:rsidRDefault="00036896" w:rsidP="00783ACD">
            <w:pPr>
              <w:widowControl w:val="0"/>
              <w:autoSpaceDE w:val="0"/>
              <w:autoSpaceDN w:val="0"/>
              <w:adjustRightInd w:val="0"/>
              <w:spacing w:after="140"/>
              <w:jc w:val="center"/>
              <w:rPr>
                <w:rFonts w:ascii="Gill Sans MT" w:hAnsi="Gill Sans MT" w:cs="GillSans-Light"/>
                <w:b/>
                <w:sz w:val="18"/>
                <w:szCs w:val="18"/>
              </w:rPr>
            </w:pPr>
            <w:r w:rsidRPr="00093C97">
              <w:rPr>
                <w:rFonts w:ascii="Gill Sans MT" w:hAnsi="Gill Sans MT" w:cs="GillSans-Light"/>
                <w:b/>
                <w:sz w:val="18"/>
                <w:szCs w:val="18"/>
              </w:rPr>
              <w:t>2015-2016</w:t>
            </w:r>
            <w:r w:rsidR="0085458F" w:rsidRPr="00093C97">
              <w:rPr>
                <w:rFonts w:ascii="Gill Sans MT" w:hAnsi="Gill Sans MT" w:cs="GillSans-Light"/>
                <w:b/>
                <w:sz w:val="18"/>
                <w:szCs w:val="18"/>
              </w:rPr>
              <w:t xml:space="preserve"> actual</w:t>
            </w:r>
          </w:p>
        </w:tc>
        <w:tc>
          <w:tcPr>
            <w:tcW w:w="760" w:type="pct"/>
            <w:vAlign w:val="center"/>
          </w:tcPr>
          <w:p w14:paraId="4B1730AC" w14:textId="77777777" w:rsidR="00036896" w:rsidRPr="00093C97" w:rsidRDefault="0085458F" w:rsidP="00783ACD">
            <w:pPr>
              <w:widowControl w:val="0"/>
              <w:autoSpaceDE w:val="0"/>
              <w:autoSpaceDN w:val="0"/>
              <w:adjustRightInd w:val="0"/>
              <w:spacing w:after="140"/>
              <w:jc w:val="center"/>
              <w:rPr>
                <w:rFonts w:ascii="Gill Sans MT" w:hAnsi="Gill Sans MT" w:cs="GillSans-Light"/>
                <w:b/>
                <w:sz w:val="18"/>
                <w:szCs w:val="18"/>
              </w:rPr>
            </w:pPr>
            <w:r w:rsidRPr="00093C97">
              <w:rPr>
                <w:rFonts w:ascii="Gill Sans MT" w:hAnsi="Gill Sans MT" w:cs="GillSans-Light"/>
                <w:b/>
                <w:sz w:val="18"/>
                <w:szCs w:val="18"/>
              </w:rPr>
              <w:t xml:space="preserve">2016-2017 </w:t>
            </w:r>
            <w:r w:rsidR="00036896" w:rsidRPr="00093C97">
              <w:rPr>
                <w:rFonts w:ascii="Gill Sans MT" w:hAnsi="Gill Sans MT" w:cs="GillSans-Light"/>
                <w:b/>
                <w:sz w:val="18"/>
                <w:szCs w:val="18"/>
              </w:rPr>
              <w:t>Target</w:t>
            </w:r>
          </w:p>
        </w:tc>
        <w:tc>
          <w:tcPr>
            <w:tcW w:w="760" w:type="pct"/>
            <w:vAlign w:val="center"/>
          </w:tcPr>
          <w:p w14:paraId="53B31F4F" w14:textId="77777777" w:rsidR="00036896" w:rsidRPr="00093C97" w:rsidRDefault="00036896" w:rsidP="00783ACD">
            <w:pPr>
              <w:widowControl w:val="0"/>
              <w:autoSpaceDE w:val="0"/>
              <w:autoSpaceDN w:val="0"/>
              <w:adjustRightInd w:val="0"/>
              <w:spacing w:after="140"/>
              <w:jc w:val="center"/>
              <w:rPr>
                <w:rFonts w:ascii="Gill Sans MT" w:hAnsi="Gill Sans MT" w:cs="GillSans-Light"/>
                <w:b/>
                <w:sz w:val="18"/>
                <w:szCs w:val="18"/>
              </w:rPr>
            </w:pPr>
            <w:r w:rsidRPr="00093C97">
              <w:rPr>
                <w:rFonts w:ascii="Gill Sans MT" w:hAnsi="Gill Sans MT" w:cs="GillSans-Light"/>
                <w:b/>
                <w:sz w:val="18"/>
                <w:szCs w:val="18"/>
              </w:rPr>
              <w:t>2016-2017 Actual</w:t>
            </w:r>
          </w:p>
        </w:tc>
      </w:tr>
      <w:tr w:rsidR="0014741B" w:rsidRPr="00093C97" w14:paraId="69DC9830" w14:textId="77777777" w:rsidTr="0014741B">
        <w:tc>
          <w:tcPr>
            <w:tcW w:w="1201" w:type="pct"/>
            <w:shd w:val="clear" w:color="auto" w:fill="D9D9D9" w:themeFill="background1" w:themeFillShade="D9"/>
          </w:tcPr>
          <w:p w14:paraId="34695F2D" w14:textId="77777777" w:rsidR="00036896" w:rsidRPr="00093C97" w:rsidRDefault="00036896" w:rsidP="00783ACD">
            <w:pPr>
              <w:widowControl w:val="0"/>
              <w:autoSpaceDE w:val="0"/>
              <w:autoSpaceDN w:val="0"/>
              <w:adjustRightInd w:val="0"/>
              <w:spacing w:after="140"/>
              <w:rPr>
                <w:rFonts w:ascii="Gill Sans MT" w:hAnsi="Gill Sans MT" w:cs="GillSans-Light"/>
                <w:sz w:val="20"/>
                <w:szCs w:val="20"/>
              </w:rPr>
            </w:pPr>
            <w:r w:rsidRPr="00093C97">
              <w:rPr>
                <w:rFonts w:ascii="Gill Sans MT" w:hAnsi="Gill Sans MT" w:cs="GillSans-Light"/>
                <w:sz w:val="20"/>
                <w:szCs w:val="20"/>
              </w:rPr>
              <w:t>Random Brea</w:t>
            </w:r>
            <w:r w:rsidR="0085458F" w:rsidRPr="00093C97">
              <w:rPr>
                <w:rFonts w:ascii="Gill Sans MT" w:hAnsi="Gill Sans MT" w:cs="GillSans-Light"/>
                <w:sz w:val="20"/>
                <w:szCs w:val="20"/>
              </w:rPr>
              <w:t>th Tests c</w:t>
            </w:r>
            <w:r w:rsidRPr="00093C97">
              <w:rPr>
                <w:rFonts w:ascii="Gill Sans MT" w:hAnsi="Gill Sans MT" w:cs="GillSans-Light"/>
                <w:sz w:val="20"/>
                <w:szCs w:val="20"/>
              </w:rPr>
              <w:t>onducted</w:t>
            </w:r>
            <w:r w:rsidRPr="00093C97">
              <w:rPr>
                <w:rStyle w:val="FootnoteReference"/>
                <w:rFonts w:ascii="Gill Sans MT" w:hAnsi="Gill Sans MT" w:cs="GillSans-Light"/>
                <w:sz w:val="20"/>
                <w:szCs w:val="20"/>
              </w:rPr>
              <w:footnoteReference w:id="7"/>
            </w:r>
          </w:p>
        </w:tc>
        <w:tc>
          <w:tcPr>
            <w:tcW w:w="759" w:type="pct"/>
            <w:shd w:val="clear" w:color="auto" w:fill="D9D9D9" w:themeFill="background1" w:themeFillShade="D9"/>
            <w:vAlign w:val="center"/>
          </w:tcPr>
          <w:p w14:paraId="49750DC6" w14:textId="77777777" w:rsidR="00036896" w:rsidRPr="00093C97" w:rsidRDefault="00121FDC"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Number</w:t>
            </w:r>
          </w:p>
        </w:tc>
        <w:tc>
          <w:tcPr>
            <w:tcW w:w="760" w:type="pct"/>
            <w:shd w:val="clear" w:color="auto" w:fill="D9D9D9" w:themeFill="background1" w:themeFillShade="D9"/>
            <w:vAlign w:val="center"/>
          </w:tcPr>
          <w:p w14:paraId="2A9E4943"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475,510</w:t>
            </w:r>
          </w:p>
        </w:tc>
        <w:tc>
          <w:tcPr>
            <w:tcW w:w="759" w:type="pct"/>
            <w:shd w:val="clear" w:color="auto" w:fill="D9D9D9" w:themeFill="background1" w:themeFillShade="D9"/>
            <w:vAlign w:val="center"/>
          </w:tcPr>
          <w:p w14:paraId="156D4B23"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469,610</w:t>
            </w:r>
          </w:p>
        </w:tc>
        <w:tc>
          <w:tcPr>
            <w:tcW w:w="760" w:type="pct"/>
            <w:shd w:val="clear" w:color="auto" w:fill="D9D9D9" w:themeFill="background1" w:themeFillShade="D9"/>
            <w:vAlign w:val="center"/>
          </w:tcPr>
          <w:p w14:paraId="1CE82F3F"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440,000</w:t>
            </w:r>
          </w:p>
        </w:tc>
        <w:tc>
          <w:tcPr>
            <w:tcW w:w="760" w:type="pct"/>
            <w:shd w:val="clear" w:color="auto" w:fill="D9D9D9" w:themeFill="background1" w:themeFillShade="D9"/>
            <w:vAlign w:val="center"/>
          </w:tcPr>
          <w:p w14:paraId="126939D7"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505,445</w:t>
            </w:r>
          </w:p>
        </w:tc>
      </w:tr>
      <w:tr w:rsidR="00036896" w:rsidRPr="00093C97" w14:paraId="6F3BAD3D" w14:textId="77777777" w:rsidTr="0014741B">
        <w:tc>
          <w:tcPr>
            <w:tcW w:w="1201" w:type="pct"/>
          </w:tcPr>
          <w:p w14:paraId="4EC75449" w14:textId="77777777" w:rsidR="00036896" w:rsidRPr="00093C97" w:rsidRDefault="00121FDC" w:rsidP="00783ACD">
            <w:pPr>
              <w:widowControl w:val="0"/>
              <w:autoSpaceDE w:val="0"/>
              <w:autoSpaceDN w:val="0"/>
              <w:adjustRightInd w:val="0"/>
              <w:spacing w:after="140"/>
              <w:rPr>
                <w:rFonts w:ascii="Gill Sans MT" w:hAnsi="Gill Sans MT" w:cs="GillSans-Light"/>
                <w:sz w:val="20"/>
                <w:szCs w:val="20"/>
              </w:rPr>
            </w:pPr>
            <w:r w:rsidRPr="00093C97">
              <w:rPr>
                <w:rFonts w:ascii="Gill Sans MT" w:hAnsi="Gill Sans MT" w:cs="GillSans-Light"/>
                <w:sz w:val="20"/>
                <w:szCs w:val="20"/>
              </w:rPr>
              <w:t xml:space="preserve">Number of </w:t>
            </w:r>
            <w:proofErr w:type="gramStart"/>
            <w:r w:rsidRPr="00093C97">
              <w:rPr>
                <w:rFonts w:ascii="Gill Sans MT" w:hAnsi="Gill Sans MT" w:cs="GillSans-Light"/>
                <w:sz w:val="20"/>
                <w:szCs w:val="20"/>
              </w:rPr>
              <w:t>drink</w:t>
            </w:r>
            <w:proofErr w:type="gramEnd"/>
            <w:r w:rsidRPr="00093C97">
              <w:rPr>
                <w:rFonts w:ascii="Gill Sans MT" w:hAnsi="Gill Sans MT" w:cs="GillSans-Light"/>
                <w:sz w:val="20"/>
                <w:szCs w:val="20"/>
              </w:rPr>
              <w:t xml:space="preserve"> driving offenders</w:t>
            </w:r>
          </w:p>
        </w:tc>
        <w:tc>
          <w:tcPr>
            <w:tcW w:w="759" w:type="pct"/>
            <w:vAlign w:val="center"/>
          </w:tcPr>
          <w:p w14:paraId="4FF94F1B"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Number</w:t>
            </w:r>
          </w:p>
        </w:tc>
        <w:tc>
          <w:tcPr>
            <w:tcW w:w="760" w:type="pct"/>
            <w:vAlign w:val="center"/>
          </w:tcPr>
          <w:p w14:paraId="2A5CAFCD"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2,585</w:t>
            </w:r>
          </w:p>
        </w:tc>
        <w:tc>
          <w:tcPr>
            <w:tcW w:w="759" w:type="pct"/>
            <w:vAlign w:val="center"/>
          </w:tcPr>
          <w:p w14:paraId="40D12204"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2,239</w:t>
            </w:r>
          </w:p>
        </w:tc>
        <w:tc>
          <w:tcPr>
            <w:tcW w:w="760" w:type="pct"/>
            <w:vAlign w:val="center"/>
          </w:tcPr>
          <w:p w14:paraId="3212C56D"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2,550</w:t>
            </w:r>
          </w:p>
        </w:tc>
        <w:tc>
          <w:tcPr>
            <w:tcW w:w="760" w:type="pct"/>
            <w:vAlign w:val="center"/>
          </w:tcPr>
          <w:p w14:paraId="152CB580"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2,187</w:t>
            </w:r>
          </w:p>
        </w:tc>
      </w:tr>
      <w:tr w:rsidR="00036896" w:rsidRPr="00093C97" w14:paraId="27C4EE1C" w14:textId="77777777" w:rsidTr="0014741B">
        <w:tc>
          <w:tcPr>
            <w:tcW w:w="1201" w:type="pct"/>
            <w:shd w:val="clear" w:color="auto" w:fill="D9D9D9" w:themeFill="background1" w:themeFillShade="D9"/>
          </w:tcPr>
          <w:p w14:paraId="5F71F0C6" w14:textId="77777777" w:rsidR="00036896" w:rsidRPr="00093C97" w:rsidRDefault="00121FDC" w:rsidP="00783ACD">
            <w:pPr>
              <w:widowControl w:val="0"/>
              <w:autoSpaceDE w:val="0"/>
              <w:autoSpaceDN w:val="0"/>
              <w:adjustRightInd w:val="0"/>
              <w:spacing w:after="140"/>
              <w:rPr>
                <w:rFonts w:ascii="Gill Sans MT" w:hAnsi="Gill Sans MT" w:cs="GillSans-Light"/>
                <w:sz w:val="20"/>
                <w:szCs w:val="20"/>
              </w:rPr>
            </w:pPr>
            <w:r w:rsidRPr="00093C97">
              <w:rPr>
                <w:rFonts w:ascii="Gill Sans MT" w:hAnsi="Gill Sans MT" w:cs="GillSans-Light"/>
                <w:sz w:val="20"/>
                <w:szCs w:val="20"/>
              </w:rPr>
              <w:t>Number of persons who self-reported driving while over the alcohol limit in the previous six months*</w:t>
            </w:r>
          </w:p>
        </w:tc>
        <w:tc>
          <w:tcPr>
            <w:tcW w:w="759" w:type="pct"/>
            <w:shd w:val="clear" w:color="auto" w:fill="D9D9D9" w:themeFill="background1" w:themeFillShade="D9"/>
            <w:vAlign w:val="center"/>
          </w:tcPr>
          <w:p w14:paraId="312EC043"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w:t>
            </w:r>
          </w:p>
        </w:tc>
        <w:tc>
          <w:tcPr>
            <w:tcW w:w="760" w:type="pct"/>
            <w:shd w:val="clear" w:color="auto" w:fill="D9D9D9" w:themeFill="background1" w:themeFillShade="D9"/>
            <w:vAlign w:val="center"/>
          </w:tcPr>
          <w:p w14:paraId="69928621"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8.8</w:t>
            </w:r>
          </w:p>
        </w:tc>
        <w:tc>
          <w:tcPr>
            <w:tcW w:w="759" w:type="pct"/>
            <w:shd w:val="clear" w:color="auto" w:fill="D9D9D9" w:themeFill="background1" w:themeFillShade="D9"/>
            <w:vAlign w:val="center"/>
          </w:tcPr>
          <w:p w14:paraId="35309E3E"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8.8</w:t>
            </w:r>
          </w:p>
        </w:tc>
        <w:tc>
          <w:tcPr>
            <w:tcW w:w="760" w:type="pct"/>
            <w:shd w:val="clear" w:color="auto" w:fill="D9D9D9" w:themeFill="background1" w:themeFillShade="D9"/>
            <w:vAlign w:val="center"/>
          </w:tcPr>
          <w:p w14:paraId="25338CD6" w14:textId="77777777" w:rsidR="0085458F" w:rsidRPr="00093C97" w:rsidRDefault="0085458F" w:rsidP="00783ACD">
            <w:pPr>
              <w:widowControl w:val="0"/>
              <w:autoSpaceDE w:val="0"/>
              <w:autoSpaceDN w:val="0"/>
              <w:adjustRightInd w:val="0"/>
              <w:jc w:val="center"/>
              <w:rPr>
                <w:rFonts w:ascii="Gill Sans MT" w:hAnsi="Gill Sans MT" w:cs="GillSans-Light"/>
                <w:sz w:val="20"/>
                <w:szCs w:val="20"/>
              </w:rPr>
            </w:pPr>
            <w:r w:rsidRPr="00093C97">
              <w:rPr>
                <w:rFonts w:ascii="Gill Sans MT" w:hAnsi="Gill Sans MT" w:cs="GillSans-Light"/>
                <w:sz w:val="20"/>
                <w:szCs w:val="20"/>
              </w:rPr>
              <w:t>&lt;/- Nat av</w:t>
            </w:r>
          </w:p>
        </w:tc>
        <w:tc>
          <w:tcPr>
            <w:tcW w:w="760" w:type="pct"/>
            <w:shd w:val="clear" w:color="auto" w:fill="D9D9D9" w:themeFill="background1" w:themeFillShade="D9"/>
            <w:vAlign w:val="center"/>
          </w:tcPr>
          <w:p w14:paraId="45AEBF30"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8.4</w:t>
            </w:r>
          </w:p>
          <w:p w14:paraId="5BE97F49" w14:textId="77777777" w:rsidR="0085458F"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(7.4 Nat)</w:t>
            </w:r>
          </w:p>
        </w:tc>
      </w:tr>
      <w:tr w:rsidR="00036896" w:rsidRPr="00093C97" w14:paraId="3AF3CB2F" w14:textId="77777777" w:rsidTr="0014741B">
        <w:tc>
          <w:tcPr>
            <w:tcW w:w="1201" w:type="pct"/>
          </w:tcPr>
          <w:p w14:paraId="48EF72CD" w14:textId="77777777" w:rsidR="00036896" w:rsidRPr="00093C97" w:rsidRDefault="00121FDC" w:rsidP="00783ACD">
            <w:pPr>
              <w:widowControl w:val="0"/>
              <w:autoSpaceDE w:val="0"/>
              <w:autoSpaceDN w:val="0"/>
              <w:adjustRightInd w:val="0"/>
              <w:spacing w:after="140"/>
              <w:rPr>
                <w:rFonts w:ascii="Gill Sans MT" w:hAnsi="Gill Sans MT" w:cs="GillSans-Light"/>
                <w:sz w:val="20"/>
                <w:szCs w:val="20"/>
              </w:rPr>
            </w:pPr>
            <w:r w:rsidRPr="00093C97">
              <w:rPr>
                <w:rFonts w:ascii="Gill Sans MT" w:hAnsi="Gill Sans MT" w:cs="GillSans-Light"/>
                <w:sz w:val="20"/>
                <w:szCs w:val="20"/>
              </w:rPr>
              <w:t>Oral Fluid Tests conducted</w:t>
            </w:r>
          </w:p>
        </w:tc>
        <w:tc>
          <w:tcPr>
            <w:tcW w:w="759" w:type="pct"/>
            <w:vAlign w:val="center"/>
          </w:tcPr>
          <w:p w14:paraId="2513F904"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Number</w:t>
            </w:r>
          </w:p>
        </w:tc>
        <w:tc>
          <w:tcPr>
            <w:tcW w:w="760" w:type="pct"/>
            <w:vAlign w:val="center"/>
          </w:tcPr>
          <w:p w14:paraId="0A44E06E"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3,431</w:t>
            </w:r>
          </w:p>
        </w:tc>
        <w:tc>
          <w:tcPr>
            <w:tcW w:w="759" w:type="pct"/>
            <w:vAlign w:val="center"/>
          </w:tcPr>
          <w:p w14:paraId="0F628480"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3,738</w:t>
            </w:r>
          </w:p>
        </w:tc>
        <w:tc>
          <w:tcPr>
            <w:tcW w:w="760" w:type="pct"/>
            <w:vAlign w:val="center"/>
          </w:tcPr>
          <w:p w14:paraId="5181E03D"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2,245</w:t>
            </w:r>
          </w:p>
        </w:tc>
        <w:tc>
          <w:tcPr>
            <w:tcW w:w="760" w:type="pct"/>
            <w:vAlign w:val="center"/>
          </w:tcPr>
          <w:p w14:paraId="7E8477C5"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3,726</w:t>
            </w:r>
          </w:p>
        </w:tc>
      </w:tr>
      <w:tr w:rsidR="00036896" w:rsidRPr="00093C97" w14:paraId="0F982D31" w14:textId="77777777" w:rsidTr="0014741B">
        <w:tc>
          <w:tcPr>
            <w:tcW w:w="1201" w:type="pct"/>
            <w:shd w:val="clear" w:color="auto" w:fill="D9D9D9" w:themeFill="background1" w:themeFillShade="D9"/>
          </w:tcPr>
          <w:p w14:paraId="35C6A56A" w14:textId="77777777" w:rsidR="00036896" w:rsidRPr="00093C97" w:rsidRDefault="00121FDC" w:rsidP="00783ACD">
            <w:pPr>
              <w:widowControl w:val="0"/>
              <w:autoSpaceDE w:val="0"/>
              <w:autoSpaceDN w:val="0"/>
              <w:adjustRightInd w:val="0"/>
              <w:spacing w:after="140"/>
              <w:rPr>
                <w:rFonts w:ascii="Gill Sans MT" w:hAnsi="Gill Sans MT" w:cs="GillSans-Light"/>
                <w:sz w:val="20"/>
                <w:szCs w:val="20"/>
              </w:rPr>
            </w:pPr>
            <w:r w:rsidRPr="00093C97">
              <w:rPr>
                <w:rFonts w:ascii="Gill Sans MT" w:hAnsi="Gill Sans MT" w:cs="GillSans-Light"/>
                <w:sz w:val="20"/>
                <w:szCs w:val="20"/>
              </w:rPr>
              <w:t xml:space="preserve">Number of drug driving </w:t>
            </w:r>
            <w:r w:rsidRPr="00093C97">
              <w:rPr>
                <w:rFonts w:ascii="Gill Sans MT" w:hAnsi="Gill Sans MT" w:cs="GillSans-Light"/>
                <w:sz w:val="20"/>
                <w:szCs w:val="20"/>
              </w:rPr>
              <w:lastRenderedPageBreak/>
              <w:t>offenders</w:t>
            </w:r>
          </w:p>
        </w:tc>
        <w:tc>
          <w:tcPr>
            <w:tcW w:w="759" w:type="pct"/>
            <w:shd w:val="clear" w:color="auto" w:fill="D9D9D9" w:themeFill="background1" w:themeFillShade="D9"/>
            <w:vAlign w:val="center"/>
          </w:tcPr>
          <w:p w14:paraId="20C49718"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lastRenderedPageBreak/>
              <w:t>Number</w:t>
            </w:r>
          </w:p>
        </w:tc>
        <w:tc>
          <w:tcPr>
            <w:tcW w:w="760" w:type="pct"/>
            <w:shd w:val="clear" w:color="auto" w:fill="D9D9D9" w:themeFill="background1" w:themeFillShade="D9"/>
            <w:vAlign w:val="center"/>
          </w:tcPr>
          <w:p w14:paraId="30E5476A"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1,867</w:t>
            </w:r>
          </w:p>
        </w:tc>
        <w:tc>
          <w:tcPr>
            <w:tcW w:w="759" w:type="pct"/>
            <w:shd w:val="clear" w:color="auto" w:fill="D9D9D9" w:themeFill="background1" w:themeFillShade="D9"/>
            <w:vAlign w:val="center"/>
          </w:tcPr>
          <w:p w14:paraId="66F18339"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2,181</w:t>
            </w:r>
          </w:p>
        </w:tc>
        <w:tc>
          <w:tcPr>
            <w:tcW w:w="760" w:type="pct"/>
            <w:shd w:val="clear" w:color="auto" w:fill="D9D9D9" w:themeFill="background1" w:themeFillShade="D9"/>
            <w:vAlign w:val="center"/>
          </w:tcPr>
          <w:p w14:paraId="5A441A1E"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1,400</w:t>
            </w:r>
          </w:p>
        </w:tc>
        <w:tc>
          <w:tcPr>
            <w:tcW w:w="760" w:type="pct"/>
            <w:shd w:val="clear" w:color="auto" w:fill="D9D9D9" w:themeFill="background1" w:themeFillShade="D9"/>
            <w:vAlign w:val="center"/>
          </w:tcPr>
          <w:p w14:paraId="01AAC6C5"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2,055</w:t>
            </w:r>
          </w:p>
        </w:tc>
      </w:tr>
      <w:tr w:rsidR="00036896" w:rsidRPr="00093C97" w14:paraId="6D23A52E" w14:textId="77777777" w:rsidTr="0014741B">
        <w:tc>
          <w:tcPr>
            <w:tcW w:w="1201" w:type="pct"/>
          </w:tcPr>
          <w:p w14:paraId="5C0A5810" w14:textId="77777777" w:rsidR="00036896" w:rsidRPr="00093C97" w:rsidRDefault="00121FDC" w:rsidP="00783ACD">
            <w:pPr>
              <w:widowControl w:val="0"/>
              <w:autoSpaceDE w:val="0"/>
              <w:autoSpaceDN w:val="0"/>
              <w:adjustRightInd w:val="0"/>
              <w:spacing w:after="140"/>
              <w:rPr>
                <w:rFonts w:ascii="Gill Sans MT" w:hAnsi="Gill Sans MT" w:cs="GillSans-Light"/>
                <w:sz w:val="20"/>
                <w:szCs w:val="20"/>
              </w:rPr>
            </w:pPr>
            <w:r w:rsidRPr="00093C97">
              <w:rPr>
                <w:rFonts w:ascii="Gill Sans MT" w:hAnsi="Gill Sans MT" w:cs="GillSans-Light"/>
                <w:sz w:val="20"/>
                <w:szCs w:val="20"/>
              </w:rPr>
              <w:t>Number of persons who self-reported driving while impaired by medication or other drugs in the previous six months*</w:t>
            </w:r>
          </w:p>
        </w:tc>
        <w:tc>
          <w:tcPr>
            <w:tcW w:w="759" w:type="pct"/>
            <w:vAlign w:val="center"/>
          </w:tcPr>
          <w:p w14:paraId="13E1558D"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w:t>
            </w:r>
          </w:p>
        </w:tc>
        <w:tc>
          <w:tcPr>
            <w:tcW w:w="760" w:type="pct"/>
            <w:vAlign w:val="center"/>
          </w:tcPr>
          <w:p w14:paraId="469BBFBD"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3.9</w:t>
            </w:r>
          </w:p>
        </w:tc>
        <w:tc>
          <w:tcPr>
            <w:tcW w:w="759" w:type="pct"/>
            <w:vAlign w:val="center"/>
          </w:tcPr>
          <w:p w14:paraId="6017945E"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5.7</w:t>
            </w:r>
          </w:p>
        </w:tc>
        <w:tc>
          <w:tcPr>
            <w:tcW w:w="760" w:type="pct"/>
            <w:vAlign w:val="center"/>
          </w:tcPr>
          <w:p w14:paraId="03A3CAC5"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&lt;/- Nat av</w:t>
            </w:r>
          </w:p>
        </w:tc>
        <w:tc>
          <w:tcPr>
            <w:tcW w:w="760" w:type="pct"/>
            <w:vAlign w:val="center"/>
          </w:tcPr>
          <w:p w14:paraId="3DA69B44" w14:textId="77777777" w:rsidR="0085458F"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 xml:space="preserve">4.5 </w:t>
            </w:r>
          </w:p>
          <w:p w14:paraId="3B9F6648" w14:textId="77777777" w:rsidR="00036896" w:rsidRPr="00093C97" w:rsidRDefault="0085458F" w:rsidP="00783ACD">
            <w:pPr>
              <w:widowControl w:val="0"/>
              <w:autoSpaceDE w:val="0"/>
              <w:autoSpaceDN w:val="0"/>
              <w:adjustRightInd w:val="0"/>
              <w:spacing w:after="140"/>
              <w:jc w:val="center"/>
              <w:rPr>
                <w:rFonts w:ascii="Gill Sans MT" w:hAnsi="Gill Sans MT" w:cs="GillSans-Light"/>
                <w:sz w:val="20"/>
                <w:szCs w:val="20"/>
              </w:rPr>
            </w:pPr>
            <w:r w:rsidRPr="00093C97">
              <w:rPr>
                <w:rFonts w:ascii="Gill Sans MT" w:hAnsi="Gill Sans MT" w:cs="GillSans-Light"/>
                <w:sz w:val="20"/>
                <w:szCs w:val="20"/>
              </w:rPr>
              <w:t>(4.0 Nat)</w:t>
            </w:r>
          </w:p>
        </w:tc>
      </w:tr>
    </w:tbl>
    <w:p w14:paraId="0B84CB6D" w14:textId="77777777" w:rsidR="00036896" w:rsidRPr="00093C97" w:rsidRDefault="00121FDC" w:rsidP="00783ACD">
      <w:pPr>
        <w:widowControl w:val="0"/>
        <w:autoSpaceDE w:val="0"/>
        <w:autoSpaceDN w:val="0"/>
        <w:adjustRightInd w:val="0"/>
        <w:spacing w:after="140" w:line="240" w:lineRule="auto"/>
        <w:rPr>
          <w:rFonts w:ascii="Gill Sans MT" w:hAnsi="Gill Sans MT" w:cs="GillSans-Light"/>
          <w:sz w:val="18"/>
          <w:szCs w:val="18"/>
        </w:rPr>
      </w:pPr>
      <w:r w:rsidRPr="00093C97">
        <w:rPr>
          <w:rFonts w:ascii="Gill Sans MT" w:hAnsi="Gill Sans MT" w:cs="GillSans-Light"/>
          <w:sz w:val="18"/>
          <w:szCs w:val="18"/>
        </w:rPr>
        <w:t xml:space="preserve">* This indicator is derived from the </w:t>
      </w:r>
      <w:r w:rsidRPr="00093C97">
        <w:rPr>
          <w:rFonts w:ascii="Gill Sans MT" w:hAnsi="Gill Sans MT" w:cs="GillSans-Light"/>
          <w:i/>
          <w:sz w:val="18"/>
          <w:szCs w:val="18"/>
        </w:rPr>
        <w:t>National Survey of Community Satisfaction with Policing</w:t>
      </w:r>
      <w:r w:rsidRPr="00093C97">
        <w:rPr>
          <w:rFonts w:ascii="Gill Sans MT" w:hAnsi="Gill Sans MT" w:cs="GillSans-Light"/>
          <w:sz w:val="18"/>
          <w:szCs w:val="18"/>
        </w:rPr>
        <w:t xml:space="preserve"> </w:t>
      </w:r>
      <w:r w:rsidRPr="00093C97">
        <w:rPr>
          <w:rFonts w:ascii="Gill Sans MT" w:hAnsi="Gill Sans MT" w:cs="GillSans-Light"/>
          <w:i/>
          <w:sz w:val="18"/>
          <w:szCs w:val="18"/>
        </w:rPr>
        <w:t>2016-17</w:t>
      </w:r>
      <w:r w:rsidRPr="00093C97">
        <w:rPr>
          <w:rFonts w:ascii="Gill Sans MT" w:hAnsi="Gill Sans MT" w:cs="GillSans-Light"/>
          <w:sz w:val="18"/>
          <w:szCs w:val="18"/>
        </w:rPr>
        <w:t xml:space="preserve"> conducted by The Social Research Centre. There is an error margin of 2 per cent on State figures and 1 per cent on national figures.</w:t>
      </w:r>
    </w:p>
    <w:p w14:paraId="007CD5DD" w14:textId="77777777" w:rsidR="0014741B" w:rsidRPr="00093C97" w:rsidRDefault="0014741B" w:rsidP="00783ACD">
      <w:pPr>
        <w:widowControl w:val="0"/>
        <w:autoSpaceDE w:val="0"/>
        <w:autoSpaceDN w:val="0"/>
        <w:adjustRightInd w:val="0"/>
        <w:spacing w:after="140" w:line="240" w:lineRule="auto"/>
        <w:rPr>
          <w:rFonts w:ascii="Gill Sans MT" w:hAnsi="Gill Sans MT" w:cs="GillSans-Light"/>
          <w:sz w:val="18"/>
          <w:szCs w:val="18"/>
        </w:rPr>
      </w:pPr>
    </w:p>
    <w:p w14:paraId="50253AC7" w14:textId="77777777" w:rsidR="0014741B" w:rsidRPr="00093C97" w:rsidRDefault="0014741B" w:rsidP="00783ACD">
      <w:pPr>
        <w:widowControl w:val="0"/>
        <w:autoSpaceDE w:val="0"/>
        <w:autoSpaceDN w:val="0"/>
        <w:adjustRightInd w:val="0"/>
        <w:spacing w:after="140" w:line="240" w:lineRule="auto"/>
        <w:rPr>
          <w:rFonts w:ascii="Gill Sans MT" w:hAnsi="Gill Sans MT" w:cs="GillSans-Light"/>
          <w:sz w:val="18"/>
          <w:szCs w:val="18"/>
        </w:rPr>
      </w:pPr>
    </w:p>
    <w:sectPr w:rsidR="0014741B" w:rsidRPr="00093C97" w:rsidSect="00C2312F">
      <w:pgSz w:w="11906" w:h="16838"/>
      <w:pgMar w:top="1247" w:right="1440"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0D5C" w14:textId="77777777" w:rsidR="005E1B5F" w:rsidRDefault="005E1B5F" w:rsidP="00C1339B">
      <w:pPr>
        <w:spacing w:after="0" w:line="240" w:lineRule="auto"/>
      </w:pPr>
      <w:r>
        <w:separator/>
      </w:r>
    </w:p>
  </w:endnote>
  <w:endnote w:type="continuationSeparator" w:id="0">
    <w:p w14:paraId="620105AF" w14:textId="77777777" w:rsidR="005E1B5F" w:rsidRDefault="005E1B5F" w:rsidP="00C1339B">
      <w:pPr>
        <w:spacing w:after="0" w:line="240" w:lineRule="auto"/>
      </w:pPr>
      <w:r>
        <w:continuationSeparator/>
      </w:r>
    </w:p>
  </w:endnote>
  <w:endnote w:id="1">
    <w:p w14:paraId="761ED5A6" w14:textId="77777777" w:rsidR="00107FB6" w:rsidRPr="0014741B" w:rsidRDefault="00107FB6">
      <w:pPr>
        <w:pStyle w:val="EndnoteText"/>
        <w:rPr>
          <w:rFonts w:ascii="Gill Sans MT" w:hAnsi="Gill Sans MT"/>
          <w:lang w:val="en-AU"/>
        </w:rPr>
      </w:pPr>
      <w:r w:rsidRPr="0014741B">
        <w:rPr>
          <w:rStyle w:val="EndnoteReference"/>
          <w:rFonts w:ascii="Gill Sans MT" w:hAnsi="Gill Sans MT"/>
        </w:rPr>
        <w:endnoteRef/>
      </w:r>
      <w:r w:rsidRPr="0014741B">
        <w:rPr>
          <w:rFonts w:ascii="Gill Sans MT" w:hAnsi="Gill Sans MT"/>
        </w:rPr>
        <w:t xml:space="preserve"> Miller P, Bruno R, Morgan A, Mayshak R, Cox E et al. Drug and Alcohol intoxication and Subsequent Harm in night-time Entertainment Districts (DASHED). National Drug Law Enforcement Research Fund (NDLERF) Monograph no. 67. Canberra: NDLERF. </w:t>
      </w:r>
      <w:hyperlink r:id="rId1" w:history="1">
        <w:r w:rsidRPr="0014741B">
          <w:rPr>
            <w:rStyle w:val="Hyperlink"/>
            <w:rFonts w:ascii="Gill Sans MT" w:hAnsi="Gill Sans MT"/>
          </w:rPr>
          <w:t>http://www.ndlerf.gov.au/pub/Monograph_67.pdf</w:t>
        </w:r>
      </w:hyperlink>
    </w:p>
  </w:endnote>
  <w:endnote w:id="2">
    <w:p w14:paraId="17F7470E" w14:textId="77777777" w:rsidR="00107FB6" w:rsidRPr="0014741B" w:rsidRDefault="00107FB6" w:rsidP="0014741B">
      <w:pPr>
        <w:autoSpaceDE w:val="0"/>
        <w:autoSpaceDN w:val="0"/>
        <w:adjustRightInd w:val="0"/>
        <w:spacing w:after="0" w:line="240" w:lineRule="auto"/>
        <w:rPr>
          <w:rFonts w:ascii="Gill Sans MT" w:eastAsia="VIC-Regular" w:hAnsi="Gill Sans MT" w:cs="VIC-Regular"/>
          <w:sz w:val="20"/>
          <w:szCs w:val="20"/>
        </w:rPr>
      </w:pPr>
      <w:r w:rsidRPr="0014741B">
        <w:rPr>
          <w:rStyle w:val="EndnoteReference"/>
          <w:rFonts w:ascii="Gill Sans MT" w:hAnsi="Gill Sans MT"/>
          <w:sz w:val="20"/>
          <w:szCs w:val="20"/>
        </w:rPr>
        <w:endnoteRef/>
      </w:r>
      <w:r w:rsidRPr="0014741B">
        <w:rPr>
          <w:rFonts w:ascii="Gill Sans MT" w:hAnsi="Gill Sans MT"/>
          <w:sz w:val="20"/>
          <w:szCs w:val="20"/>
        </w:rPr>
        <w:t xml:space="preserve"> </w:t>
      </w:r>
      <w:r w:rsidRPr="0014741B">
        <w:rPr>
          <w:rFonts w:ascii="Gill Sans MT" w:eastAsia="VIC-Regular" w:hAnsi="Gill Sans MT" w:cs="VIC-Regular"/>
          <w:sz w:val="20"/>
          <w:szCs w:val="20"/>
        </w:rPr>
        <w:t xml:space="preserve">Department of Health and Human Services Tasmania 2016, </w:t>
      </w:r>
      <w:r w:rsidRPr="0014741B">
        <w:rPr>
          <w:rFonts w:ascii="Gill Sans MT" w:eastAsia="VIC-Regular" w:hAnsi="Gill Sans MT" w:cs="VIC-Regular"/>
          <w:i/>
          <w:sz w:val="20"/>
          <w:szCs w:val="20"/>
        </w:rPr>
        <w:t>Report on the</w:t>
      </w:r>
      <w:r w:rsidRPr="0014741B">
        <w:rPr>
          <w:rFonts w:ascii="Gill Sans MT" w:eastAsia="VIC-Regular" w:hAnsi="Gill Sans MT" w:cs="VIC-Regular"/>
          <w:sz w:val="20"/>
          <w:szCs w:val="20"/>
        </w:rPr>
        <w:t xml:space="preserve"> </w:t>
      </w:r>
      <w:r w:rsidRPr="0014741B">
        <w:rPr>
          <w:rFonts w:ascii="Gill Sans MT" w:eastAsia="VIC-Regular" w:hAnsi="Gill Sans MT" w:cs="VIC-Italic"/>
          <w:i/>
          <w:iCs/>
          <w:sz w:val="20"/>
          <w:szCs w:val="20"/>
        </w:rPr>
        <w:t>Tasmanian Population Health Survey 2016</w:t>
      </w:r>
      <w:r w:rsidRPr="0014741B">
        <w:rPr>
          <w:rFonts w:ascii="Gill Sans MT" w:eastAsia="VIC-Regular" w:hAnsi="Gill Sans MT" w:cs="VIC-Regular"/>
          <w:sz w:val="20"/>
          <w:szCs w:val="20"/>
        </w:rPr>
        <w:t>, Hobart.</w:t>
      </w:r>
    </w:p>
  </w:endnote>
  <w:endnote w:id="3">
    <w:p w14:paraId="046DA068" w14:textId="77777777" w:rsidR="00107FB6" w:rsidRPr="0014741B" w:rsidRDefault="00107FB6" w:rsidP="007467E3">
      <w:pPr>
        <w:spacing w:before="60" w:after="60" w:line="240" w:lineRule="auto"/>
        <w:rPr>
          <w:rFonts w:ascii="Gill Sans MT" w:hAnsi="Gill Sans MT" w:cstheme="minorHAnsi"/>
          <w:sz w:val="20"/>
          <w:szCs w:val="20"/>
        </w:rPr>
      </w:pPr>
      <w:r w:rsidRPr="0014741B">
        <w:rPr>
          <w:rStyle w:val="EndnoteReference"/>
          <w:rFonts w:ascii="Gill Sans MT" w:hAnsi="Gill Sans MT"/>
          <w:sz w:val="20"/>
          <w:szCs w:val="20"/>
        </w:rPr>
        <w:endnoteRef/>
      </w:r>
      <w:r w:rsidRPr="0014741B">
        <w:rPr>
          <w:rFonts w:ascii="Gill Sans MT" w:hAnsi="Gill Sans MT"/>
          <w:sz w:val="20"/>
          <w:szCs w:val="20"/>
        </w:rPr>
        <w:t xml:space="preserve"> </w:t>
      </w:r>
      <w:r w:rsidRPr="0014741B">
        <w:rPr>
          <w:rFonts w:ascii="Gill Sans MT" w:hAnsi="Gill Sans MT" w:cs="Myriad Pro"/>
          <w:color w:val="000000"/>
          <w:sz w:val="20"/>
          <w:szCs w:val="20"/>
        </w:rPr>
        <w:t>Australian Institute of Health and Welfare 2017. National Drug Strategy Household Survey 2016: detailed findings. Drug Statistics series no. 31. Cat. no. PHE 214. Canberra: AIHW</w:t>
      </w:r>
      <w:r w:rsidRPr="0014741B">
        <w:rPr>
          <w:rFonts w:ascii="Gill Sans MT" w:hAnsi="Gill Sans MT" w:cstheme="minorHAnsi"/>
          <w:sz w:val="20"/>
          <w:szCs w:val="20"/>
        </w:rPr>
        <w:t>.</w:t>
      </w:r>
    </w:p>
  </w:endnote>
  <w:endnote w:id="4">
    <w:p w14:paraId="7CAF71B8" w14:textId="77777777" w:rsidR="00107FB6" w:rsidRPr="0014741B" w:rsidRDefault="00107FB6" w:rsidP="007467E3">
      <w:pPr>
        <w:pStyle w:val="EndnoteText"/>
        <w:spacing w:before="60" w:after="60"/>
        <w:rPr>
          <w:rFonts w:ascii="Gill Sans MT" w:hAnsi="Gill Sans MT"/>
          <w:lang w:val="en-AU"/>
        </w:rPr>
      </w:pPr>
      <w:r w:rsidRPr="0014741B">
        <w:rPr>
          <w:rStyle w:val="EndnoteReference"/>
          <w:rFonts w:ascii="Gill Sans MT" w:hAnsi="Gill Sans MT"/>
        </w:rPr>
        <w:endnoteRef/>
      </w:r>
      <w:r w:rsidRPr="0014741B">
        <w:rPr>
          <w:rFonts w:ascii="Gill Sans MT" w:hAnsi="Gill Sans MT"/>
        </w:rPr>
        <w:t xml:space="preserve"> </w:t>
      </w:r>
      <w:r w:rsidRPr="0014741B">
        <w:rPr>
          <w:rFonts w:ascii="Gill Sans MT" w:hAnsi="Gill Sans MT"/>
          <w:noProof/>
        </w:rPr>
        <w:t xml:space="preserve">Australian Bureau of Statistics. National Health Survey: First Results, 2014-15 [INTERNET]. Canberra: ABS; 2015 [cited 2016 15 Jun]. Available from: </w:t>
      </w:r>
      <w:hyperlink r:id="rId2" w:history="1">
        <w:r w:rsidRPr="0014741B">
          <w:rPr>
            <w:rStyle w:val="Hyperlink"/>
            <w:rFonts w:ascii="Gill Sans MT" w:hAnsi="Gill Sans MT"/>
            <w:noProof/>
          </w:rPr>
          <w:t>http://www.abs.gov.au/AUSSTATS/abs@.nsf/DetailsPage/4364.0.55.0012014-15?OpenDocument</w:t>
        </w:r>
      </w:hyperlink>
    </w:p>
  </w:endnote>
  <w:endnote w:id="5">
    <w:p w14:paraId="71AAAC08" w14:textId="77777777" w:rsidR="00107FB6" w:rsidRPr="0014741B" w:rsidRDefault="00107FB6" w:rsidP="007467E3">
      <w:pPr>
        <w:pStyle w:val="EndnoteText"/>
        <w:spacing w:before="60" w:after="60"/>
        <w:rPr>
          <w:rFonts w:ascii="Gill Sans MT" w:hAnsi="Gill Sans MT"/>
        </w:rPr>
      </w:pPr>
      <w:r w:rsidRPr="0014741B">
        <w:rPr>
          <w:rStyle w:val="EndnoteReference"/>
          <w:rFonts w:ascii="Gill Sans MT" w:hAnsi="Gill Sans MT"/>
        </w:rPr>
        <w:endnoteRef/>
      </w:r>
      <w:r w:rsidRPr="0014741B">
        <w:rPr>
          <w:rFonts w:ascii="Gill Sans MT" w:hAnsi="Gill Sans MT"/>
        </w:rPr>
        <w:t xml:space="preserve"> Council of Obstetric and Paediatric Mortality and Morbidity Annual Report 2014. (2016) State of Tasmania, Department of Health and Human Services, 2016</w:t>
      </w:r>
    </w:p>
  </w:endnote>
  <w:endnote w:id="6">
    <w:p w14:paraId="3B96A96A" w14:textId="77777777" w:rsidR="00107FB6" w:rsidRPr="0014741B" w:rsidRDefault="00107FB6" w:rsidP="007467E3">
      <w:pPr>
        <w:pStyle w:val="EndnoteText"/>
        <w:spacing w:before="60" w:after="60"/>
        <w:rPr>
          <w:rFonts w:ascii="Gill Sans MT" w:hAnsi="Gill Sans MT"/>
          <w:lang w:val="en-AU"/>
        </w:rPr>
      </w:pPr>
      <w:r w:rsidRPr="0014741B">
        <w:rPr>
          <w:rStyle w:val="EndnoteReference"/>
          <w:rFonts w:ascii="Gill Sans MT" w:hAnsi="Gill Sans MT"/>
        </w:rPr>
        <w:endnoteRef/>
      </w:r>
      <w:r w:rsidRPr="0014741B">
        <w:rPr>
          <w:rFonts w:ascii="Gill Sans MT" w:hAnsi="Gill Sans MT"/>
        </w:rPr>
        <w:t xml:space="preserve"> </w:t>
      </w:r>
      <w:r w:rsidRPr="0014741B">
        <w:rPr>
          <w:rFonts w:ascii="Gill Sans MT" w:hAnsi="Gill Sans MT"/>
          <w:noProof/>
        </w:rPr>
        <w:t>Williams T, Katherine S. The use of alcohol, tobacco, over-the-counter substances, among Tasmanian secondary school students in 2014 and trends over time. Centre for Behavioural Research in Cancer Council Victoria, prapared for Cancer Council Tasmania, 2016.</w:t>
      </w:r>
    </w:p>
  </w:endnote>
  <w:endnote w:id="7">
    <w:p w14:paraId="1DEE20C0" w14:textId="77777777" w:rsidR="00107FB6" w:rsidRPr="00A012AF" w:rsidRDefault="00107FB6">
      <w:pPr>
        <w:pStyle w:val="EndnoteText"/>
        <w:rPr>
          <w:rFonts w:ascii="Gill Sans MT" w:hAnsi="Gill Sans MT"/>
          <w:lang w:val="en-AU"/>
        </w:rPr>
      </w:pPr>
      <w:r w:rsidRPr="00A012AF">
        <w:rPr>
          <w:rStyle w:val="EndnoteReference"/>
          <w:rFonts w:ascii="Gill Sans MT" w:hAnsi="Gill Sans MT"/>
        </w:rPr>
        <w:endnoteRef/>
      </w:r>
      <w:r w:rsidRPr="00A012AF">
        <w:rPr>
          <w:rFonts w:ascii="Gill Sans MT" w:hAnsi="Gill Sans MT"/>
        </w:rPr>
        <w:t xml:space="preserve"> </w:t>
      </w:r>
      <w:r w:rsidRPr="00A012AF">
        <w:rPr>
          <w:rFonts w:ascii="Gill Sans MT" w:hAnsi="Gill Sans MT"/>
          <w:lang w:val="en-AU"/>
        </w:rPr>
        <w:t>Department of Health and Human Services</w:t>
      </w:r>
      <w:r>
        <w:rPr>
          <w:rFonts w:ascii="Gill Sans MT" w:hAnsi="Gill Sans MT"/>
          <w:lang w:val="en-AU"/>
        </w:rPr>
        <w:t>, 2016. Tasmanian Alcohol Data and Trends Report 2016.</w:t>
      </w:r>
    </w:p>
  </w:endnote>
  <w:endnote w:id="8">
    <w:p w14:paraId="536B260A" w14:textId="77777777" w:rsidR="00107FB6" w:rsidRPr="0014741B" w:rsidRDefault="00107FB6" w:rsidP="007467E3">
      <w:pPr>
        <w:spacing w:before="60" w:after="60" w:line="240" w:lineRule="auto"/>
        <w:rPr>
          <w:rFonts w:ascii="Gill Sans MT" w:hAnsi="Gill Sans MT"/>
          <w:noProof/>
          <w:sz w:val="20"/>
          <w:szCs w:val="20"/>
        </w:rPr>
      </w:pPr>
      <w:r w:rsidRPr="0014741B">
        <w:rPr>
          <w:rStyle w:val="EndnoteReference"/>
          <w:rFonts w:ascii="Gill Sans MT" w:hAnsi="Gill Sans MT"/>
          <w:sz w:val="20"/>
          <w:szCs w:val="20"/>
        </w:rPr>
        <w:endnoteRef/>
      </w:r>
      <w:r w:rsidRPr="0014741B">
        <w:rPr>
          <w:rFonts w:ascii="Gill Sans MT" w:hAnsi="Gill Sans MT"/>
          <w:sz w:val="20"/>
          <w:szCs w:val="20"/>
        </w:rPr>
        <w:t xml:space="preserve"> </w:t>
      </w:r>
      <w:r w:rsidRPr="0014741B">
        <w:rPr>
          <w:rFonts w:ascii="Gill Sans MT" w:hAnsi="Gill Sans MT"/>
          <w:noProof/>
          <w:sz w:val="20"/>
          <w:szCs w:val="20"/>
        </w:rPr>
        <w:t>Australian College for Emergency Medicine. Alcohol Harm in Emergency Departments (AHED) Program [Internet]. 2016 [cited 2016 10 July]. Available from: https://acem.org.au/About-ACEM/Programs-Projects/Alcohol-Harm-in-ED-(AHED)-Project.aspx.</w:t>
      </w:r>
    </w:p>
  </w:endnote>
  <w:endnote w:id="9">
    <w:p w14:paraId="509F21A0" w14:textId="77777777" w:rsidR="00107FB6" w:rsidRPr="0014741B" w:rsidRDefault="00107FB6" w:rsidP="007467E3">
      <w:pPr>
        <w:pStyle w:val="EndnoteText"/>
        <w:spacing w:before="60" w:after="60"/>
        <w:rPr>
          <w:rFonts w:ascii="Gill Sans MT" w:hAnsi="Gill Sans MT"/>
          <w:lang w:val="en-AU"/>
        </w:rPr>
      </w:pPr>
      <w:r w:rsidRPr="0014741B">
        <w:rPr>
          <w:rStyle w:val="EndnoteReference"/>
          <w:rFonts w:ascii="Gill Sans MT" w:hAnsi="Gill Sans MT"/>
        </w:rPr>
        <w:endnoteRef/>
      </w:r>
      <w:r w:rsidRPr="0014741B">
        <w:rPr>
          <w:rFonts w:ascii="Gill Sans MT" w:hAnsi="Gill Sans MT"/>
        </w:rPr>
        <w:t xml:space="preserve"> </w:t>
      </w:r>
      <w:r w:rsidRPr="0014741B">
        <w:rPr>
          <w:rFonts w:ascii="Gill Sans MT" w:hAnsi="Gill Sans MT"/>
          <w:noProof/>
        </w:rPr>
        <w:t>Egerton-Warburton D, Gosbell A, Wadsworth A, Fatovich DM, Richardson DB. Survey of alcohol-related presentations to Australasian emergency departments. The Medical journal of Australia. 2014 Nov 17;201(10):584-7. PubMed PMID: 25390264</w:t>
      </w:r>
    </w:p>
  </w:endnote>
  <w:endnote w:id="10">
    <w:p w14:paraId="03D9E8B8" w14:textId="77777777" w:rsidR="00107FB6" w:rsidRPr="0014741B" w:rsidRDefault="00107FB6" w:rsidP="007467E3">
      <w:pPr>
        <w:spacing w:before="60" w:after="60" w:line="240" w:lineRule="auto"/>
        <w:rPr>
          <w:rFonts w:ascii="Gill Sans MT" w:hAnsi="Gill Sans MT" w:cstheme="minorHAnsi"/>
          <w:sz w:val="20"/>
          <w:szCs w:val="20"/>
        </w:rPr>
      </w:pPr>
      <w:r w:rsidRPr="0014741B">
        <w:rPr>
          <w:rStyle w:val="EndnoteReference"/>
          <w:rFonts w:ascii="Gill Sans MT" w:hAnsi="Gill Sans MT"/>
          <w:sz w:val="20"/>
          <w:szCs w:val="20"/>
        </w:rPr>
        <w:endnoteRef/>
      </w:r>
      <w:r w:rsidRPr="0014741B">
        <w:rPr>
          <w:rFonts w:ascii="Gill Sans MT" w:hAnsi="Gill Sans MT"/>
          <w:sz w:val="20"/>
          <w:szCs w:val="20"/>
        </w:rPr>
        <w:t xml:space="preserve"> </w:t>
      </w:r>
      <w:r w:rsidRPr="0014741B">
        <w:rPr>
          <w:rFonts w:ascii="Gill Sans MT" w:hAnsi="Gill Sans MT" w:cs="MyriadPro-Light"/>
          <w:sz w:val="20"/>
          <w:szCs w:val="20"/>
        </w:rPr>
        <w:t xml:space="preserve">Gao, C., Ogeil, R.P., &amp; Lloyd, B. 2014. </w:t>
      </w:r>
      <w:r w:rsidRPr="0014741B">
        <w:rPr>
          <w:rFonts w:ascii="Gill Sans MT" w:hAnsi="Gill Sans MT" w:cs="MyriadPro-Light"/>
          <w:i/>
          <w:sz w:val="20"/>
          <w:szCs w:val="20"/>
        </w:rPr>
        <w:t>Alcohol’s burden of disease in Australia</w:t>
      </w:r>
      <w:r w:rsidRPr="0014741B">
        <w:rPr>
          <w:rFonts w:ascii="Gill Sans MT" w:hAnsi="Gill Sans MT" w:cs="MyriadPro-Light"/>
          <w:sz w:val="20"/>
          <w:szCs w:val="20"/>
        </w:rPr>
        <w:t>. Canberra: FARE and VicHealth in collaboration with Turning Point</w:t>
      </w:r>
    </w:p>
  </w:endnote>
  <w:endnote w:id="11">
    <w:p w14:paraId="59C19C68" w14:textId="77777777" w:rsidR="00107FB6" w:rsidRPr="0014741B" w:rsidRDefault="00107FB6" w:rsidP="00070FF0">
      <w:pPr>
        <w:pStyle w:val="Default"/>
        <w:spacing w:before="60" w:after="60"/>
        <w:rPr>
          <w:sz w:val="20"/>
          <w:szCs w:val="20"/>
        </w:rPr>
      </w:pPr>
      <w:r w:rsidRPr="0014741B">
        <w:rPr>
          <w:rStyle w:val="EndnoteReference"/>
          <w:sz w:val="20"/>
          <w:szCs w:val="20"/>
        </w:rPr>
        <w:endnoteRef/>
      </w:r>
      <w:r w:rsidRPr="0014741B">
        <w:rPr>
          <w:sz w:val="20"/>
          <w:szCs w:val="20"/>
        </w:rPr>
        <w:t xml:space="preserve"> </w:t>
      </w:r>
      <w:r w:rsidRPr="0014741B">
        <w:rPr>
          <w:rFonts w:cs="Arial Narrow"/>
          <w:sz w:val="20"/>
          <w:szCs w:val="20"/>
        </w:rPr>
        <w:t xml:space="preserve"> Roxburgh, A., and Breen, C. (2016). Drug-related hospital stays in Australia, 1993-2014.  Sydney: National Drug and Alcohol Research Centre, University of New South Wales</w:t>
      </w:r>
    </w:p>
  </w:endnote>
  <w:endnote w:id="12">
    <w:p w14:paraId="739A1925" w14:textId="77777777" w:rsidR="00107FB6" w:rsidRPr="0014741B" w:rsidRDefault="00107FB6" w:rsidP="007467E3">
      <w:pPr>
        <w:pStyle w:val="EndnoteText"/>
        <w:spacing w:before="60" w:after="60"/>
        <w:rPr>
          <w:rFonts w:ascii="Gill Sans MT" w:hAnsi="Gill Sans MT"/>
        </w:rPr>
      </w:pPr>
      <w:r w:rsidRPr="0014741B">
        <w:rPr>
          <w:rStyle w:val="EndnoteReference"/>
          <w:rFonts w:ascii="Gill Sans MT" w:hAnsi="Gill Sans MT"/>
        </w:rPr>
        <w:endnoteRef/>
      </w:r>
      <w:r w:rsidRPr="0014741B">
        <w:rPr>
          <w:rFonts w:ascii="Gill Sans MT" w:hAnsi="Gill Sans MT"/>
        </w:rPr>
        <w:t xml:space="preserve"> Alcohol and other drug treatment services in Australia 2015-16. Australian Institute of Health and Welfare 2017. Drug treatment series no. 29. Cat. No. HSE 187. Canberra: AIHW.</w:t>
      </w:r>
    </w:p>
  </w:endnote>
  <w:endnote w:id="13">
    <w:p w14:paraId="79C398B3" w14:textId="77777777" w:rsidR="00107FB6" w:rsidRPr="0014741B" w:rsidRDefault="00107FB6" w:rsidP="007467E3">
      <w:pPr>
        <w:pStyle w:val="EndnoteText"/>
        <w:spacing w:before="60" w:after="60"/>
        <w:rPr>
          <w:rFonts w:ascii="Gill Sans MT" w:hAnsi="Gill Sans MT"/>
          <w:lang w:val="en-AU"/>
        </w:rPr>
      </w:pPr>
      <w:r w:rsidRPr="0014741B">
        <w:rPr>
          <w:rStyle w:val="EndnoteReference"/>
          <w:rFonts w:ascii="Gill Sans MT" w:hAnsi="Gill Sans MT"/>
        </w:rPr>
        <w:endnoteRef/>
      </w:r>
      <w:r w:rsidRPr="0014741B">
        <w:rPr>
          <w:rFonts w:ascii="Gill Sans MT" w:hAnsi="Gill Sans MT"/>
        </w:rPr>
        <w:t xml:space="preserve"> National Wastewater Drug Monitoring Program, Report 1, March 2017.  Australian Criminal Intelligence Commission </w:t>
      </w:r>
    </w:p>
  </w:endnote>
  <w:endnote w:id="14">
    <w:p w14:paraId="5FC5F965" w14:textId="77777777" w:rsidR="00107FB6" w:rsidRPr="0014741B" w:rsidRDefault="00107FB6">
      <w:pPr>
        <w:pStyle w:val="EndnoteText"/>
        <w:rPr>
          <w:rFonts w:ascii="Gill Sans MT" w:hAnsi="Gill Sans MT"/>
          <w:lang w:val="en-AU"/>
        </w:rPr>
      </w:pPr>
      <w:r w:rsidRPr="0014741B">
        <w:rPr>
          <w:rStyle w:val="EndnoteReference"/>
          <w:rFonts w:ascii="Gill Sans MT" w:hAnsi="Gill Sans MT"/>
        </w:rPr>
        <w:endnoteRef/>
      </w:r>
      <w:r w:rsidRPr="0014741B">
        <w:rPr>
          <w:rFonts w:ascii="Gill Sans MT" w:hAnsi="Gill Sans MT"/>
        </w:rPr>
        <w:t xml:space="preserve"> </w:t>
      </w:r>
      <w:r w:rsidRPr="0014741B">
        <w:rPr>
          <w:rFonts w:ascii="Gill Sans MT" w:hAnsi="Gill Sans MT"/>
          <w:noProof/>
        </w:rPr>
        <w:t>Department of Police and Emergency Management. Annual Report 2016-17. Tasmanian Government,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 Light">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Sans">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IC-Regular">
    <w:altName w:val="MS Gothic"/>
    <w:panose1 w:val="00000000000000000000"/>
    <w:charset w:val="80"/>
    <w:family w:val="swiss"/>
    <w:notTrueType/>
    <w:pitch w:val="default"/>
    <w:sig w:usb0="00000003" w:usb1="08070000" w:usb2="00000010" w:usb3="00000000" w:csb0="00020001" w:csb1="00000000"/>
  </w:font>
  <w:font w:name="VIC-Italic">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yriad Pro">
    <w:altName w:val="Myriad Pro"/>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1E56" w14:textId="77777777" w:rsidR="00107FB6" w:rsidRDefault="00107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370991"/>
      <w:docPartObj>
        <w:docPartGallery w:val="Page Numbers (Bottom of Page)"/>
        <w:docPartUnique/>
      </w:docPartObj>
    </w:sdtPr>
    <w:sdtEndPr>
      <w:rPr>
        <w:noProof/>
      </w:rPr>
    </w:sdtEndPr>
    <w:sdtContent>
      <w:p w14:paraId="43B717BF" w14:textId="77777777" w:rsidR="00107FB6" w:rsidRDefault="00107FB6">
        <w:pPr>
          <w:pStyle w:val="Footer"/>
          <w:jc w:val="right"/>
        </w:pPr>
        <w:r>
          <w:fldChar w:fldCharType="begin"/>
        </w:r>
        <w:r>
          <w:instrText xml:space="preserve"> PAGE   \* MERGEFORMAT </w:instrText>
        </w:r>
        <w:r>
          <w:fldChar w:fldCharType="separate"/>
        </w:r>
        <w:r w:rsidR="005456D0">
          <w:rPr>
            <w:noProof/>
          </w:rPr>
          <w:t>15</w:t>
        </w:r>
        <w:r>
          <w:rPr>
            <w:noProof/>
          </w:rPr>
          <w:fldChar w:fldCharType="end"/>
        </w:r>
      </w:p>
    </w:sdtContent>
  </w:sdt>
  <w:p w14:paraId="6216D0DA" w14:textId="77777777" w:rsidR="00107FB6" w:rsidRDefault="00107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0C72" w14:textId="77777777" w:rsidR="00107FB6" w:rsidRDefault="00107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8C809" w14:textId="77777777" w:rsidR="005E1B5F" w:rsidRDefault="005E1B5F" w:rsidP="00C1339B">
      <w:pPr>
        <w:spacing w:after="0" w:line="240" w:lineRule="auto"/>
      </w:pPr>
      <w:r>
        <w:separator/>
      </w:r>
    </w:p>
  </w:footnote>
  <w:footnote w:type="continuationSeparator" w:id="0">
    <w:p w14:paraId="1FD4A383" w14:textId="77777777" w:rsidR="005E1B5F" w:rsidRDefault="005E1B5F" w:rsidP="00C1339B">
      <w:pPr>
        <w:spacing w:after="0" w:line="240" w:lineRule="auto"/>
      </w:pPr>
      <w:r>
        <w:continuationSeparator/>
      </w:r>
    </w:p>
  </w:footnote>
  <w:footnote w:id="1">
    <w:p w14:paraId="268C16A0" w14:textId="77777777" w:rsidR="00107FB6" w:rsidRPr="00036896" w:rsidRDefault="00107FB6" w:rsidP="00FB3A81">
      <w:pPr>
        <w:keepNext/>
        <w:spacing w:after="0" w:line="240" w:lineRule="auto"/>
        <w:rPr>
          <w:rFonts w:ascii="Gill Sans MT" w:hAnsi="Gill Sans MT"/>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National Health and Medical Research Council Australian guidelines to reduce health risks from drinking alcohol, 2009</w:t>
      </w:r>
    </w:p>
    <w:p w14:paraId="674CC7FF" w14:textId="77777777" w:rsidR="00107FB6" w:rsidRDefault="00107FB6">
      <w:pPr>
        <w:pStyle w:val="FootnoteText"/>
      </w:pPr>
    </w:p>
  </w:footnote>
  <w:footnote w:id="2">
    <w:p w14:paraId="07A1739B" w14:textId="77777777" w:rsidR="00107FB6" w:rsidRPr="00036896" w:rsidRDefault="00107FB6" w:rsidP="00FA76BC">
      <w:pPr>
        <w:spacing w:after="0" w:line="240" w:lineRule="auto"/>
        <w:rPr>
          <w:rFonts w:ascii="Gill Sans MT" w:hAnsi="Gill Sans MT" w:cs="Myriad Pro"/>
          <w:color w:val="000000"/>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w:t>
      </w:r>
      <w:r w:rsidRPr="00036896">
        <w:rPr>
          <w:rFonts w:ascii="Gill Sans MT" w:hAnsi="Gill Sans MT" w:cs="Myriad Pro"/>
          <w:color w:val="000000"/>
          <w:sz w:val="18"/>
          <w:szCs w:val="18"/>
        </w:rPr>
        <w:t>On a single occasion of drinking, the risk of alcohol-related injury increases with the amount consumed. For healthy men and women, drinking no more than four standard drinks on a single occasion reduces the risk of alcohol-related injury arising from that occasion. This report mainly presents the proportion of people exceeding the single occasion risk guidelines once a month or more often (at least monthly).</w:t>
      </w:r>
    </w:p>
  </w:footnote>
  <w:footnote w:id="3">
    <w:p w14:paraId="57DCBF59" w14:textId="77777777" w:rsidR="00107FB6" w:rsidRPr="00036896" w:rsidRDefault="00107FB6" w:rsidP="00F628F2">
      <w:pPr>
        <w:pStyle w:val="FootnoteText"/>
        <w:rPr>
          <w:rFonts w:ascii="Gill Sans MT" w:hAnsi="Gill Sans MT"/>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Used at least 1 of 16 illicit drugs in 2016, noting the number and type of illicit drug used varied between 2010 and 2016.</w:t>
      </w:r>
    </w:p>
  </w:footnote>
  <w:footnote w:id="4">
    <w:p w14:paraId="4AA5A275" w14:textId="77777777" w:rsidR="00107FB6" w:rsidRPr="00036896" w:rsidRDefault="00107FB6" w:rsidP="00F628F2">
      <w:pPr>
        <w:pStyle w:val="FootnoteText"/>
        <w:rPr>
          <w:rFonts w:ascii="Gill Sans MT" w:hAnsi="Gill Sans MT"/>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OTC refers to paracetamol, aspirin and other non-opioid over-the-counter (OTC) pain killers/analgesics.</w:t>
      </w:r>
    </w:p>
  </w:footnote>
  <w:footnote w:id="5">
    <w:p w14:paraId="4F563646" w14:textId="77777777" w:rsidR="00107FB6" w:rsidRPr="00036896" w:rsidRDefault="00107FB6" w:rsidP="00F628F2">
      <w:pPr>
        <w:pStyle w:val="FootnoteText"/>
        <w:rPr>
          <w:rFonts w:ascii="Gill Sans MT" w:hAnsi="Gill Sans MT"/>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Estimate has a relative standard error of 25 to 50 per cent and should be used with caution.</w:t>
      </w:r>
    </w:p>
  </w:footnote>
  <w:footnote w:id="6">
    <w:p w14:paraId="396CF81E" w14:textId="77777777" w:rsidR="00107FB6" w:rsidRPr="00036896" w:rsidRDefault="00107FB6">
      <w:pPr>
        <w:pStyle w:val="FootnoteText"/>
        <w:rPr>
          <w:rFonts w:ascii="Gill Sans MT" w:hAnsi="Gill Sans MT"/>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All data displayed in this table have been revised as at 30 June 2017. Any changes to previous years’ reporting figures are due to data settling </w:t>
      </w:r>
      <w:r w:rsidR="004D4D80">
        <w:rPr>
          <w:rFonts w:ascii="Gill Sans MT" w:hAnsi="Gill Sans MT"/>
          <w:sz w:val="18"/>
          <w:szCs w:val="18"/>
        </w:rPr>
        <w:t>f</w:t>
      </w:r>
      <w:r w:rsidRPr="00036896">
        <w:rPr>
          <w:rFonts w:ascii="Gill Sans MT" w:hAnsi="Gill Sans MT"/>
          <w:sz w:val="18"/>
          <w:szCs w:val="18"/>
        </w:rPr>
        <w:t>rom the previous reporting period.</w:t>
      </w:r>
    </w:p>
  </w:footnote>
  <w:footnote w:id="7">
    <w:p w14:paraId="247764D3" w14:textId="77777777" w:rsidR="00107FB6" w:rsidRPr="00036896" w:rsidRDefault="00107FB6">
      <w:pPr>
        <w:pStyle w:val="FootnoteText"/>
        <w:rPr>
          <w:rFonts w:ascii="Gill Sans MT" w:hAnsi="Gill Sans MT"/>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w:t>
      </w:r>
      <w:r>
        <w:rPr>
          <w:rFonts w:ascii="Gill Sans MT" w:hAnsi="Gill Sans MT"/>
          <w:sz w:val="18"/>
          <w:szCs w:val="18"/>
        </w:rPr>
        <w:t>In accordance with the Drink/Drug Driving Strategy, the performance measure ‘Random Breath Tests conducted’ will not be increased due to a shift of focus on drink/drug driving.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419D" w14:textId="77777777" w:rsidR="00107FB6" w:rsidRDefault="00107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EDBA" w14:textId="77777777" w:rsidR="00107FB6" w:rsidRDefault="00107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6355" w14:textId="77777777" w:rsidR="00107FB6" w:rsidRDefault="00107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F0A24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780747"/>
    <w:multiLevelType w:val="hybridMultilevel"/>
    <w:tmpl w:val="A01A7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D776C"/>
    <w:multiLevelType w:val="hybridMultilevel"/>
    <w:tmpl w:val="69B4A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45218"/>
    <w:multiLevelType w:val="hybridMultilevel"/>
    <w:tmpl w:val="5CE6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9019F"/>
    <w:multiLevelType w:val="hybridMultilevel"/>
    <w:tmpl w:val="909C1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743D8F"/>
    <w:multiLevelType w:val="multilevel"/>
    <w:tmpl w:val="639A92DC"/>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59411CA"/>
    <w:multiLevelType w:val="hybridMultilevel"/>
    <w:tmpl w:val="56CC2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D7E5E"/>
    <w:multiLevelType w:val="hybridMultilevel"/>
    <w:tmpl w:val="3B464B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BD02CA"/>
    <w:multiLevelType w:val="hybridMultilevel"/>
    <w:tmpl w:val="81ECB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27FF1"/>
    <w:multiLevelType w:val="hybridMultilevel"/>
    <w:tmpl w:val="29F6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464ACA"/>
    <w:multiLevelType w:val="hybridMultilevel"/>
    <w:tmpl w:val="D6FAD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A6F58"/>
    <w:multiLevelType w:val="hybridMultilevel"/>
    <w:tmpl w:val="36420C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6E735A8"/>
    <w:multiLevelType w:val="hybridMultilevel"/>
    <w:tmpl w:val="5824D1E6"/>
    <w:lvl w:ilvl="0" w:tplc="0C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CD745A"/>
    <w:multiLevelType w:val="hybridMultilevel"/>
    <w:tmpl w:val="ED324CE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1E237E"/>
    <w:multiLevelType w:val="hybridMultilevel"/>
    <w:tmpl w:val="C804C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974993"/>
    <w:multiLevelType w:val="hybridMultilevel"/>
    <w:tmpl w:val="6BD2BF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C9361D"/>
    <w:multiLevelType w:val="hybridMultilevel"/>
    <w:tmpl w:val="7E1674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6F86191"/>
    <w:multiLevelType w:val="hybridMultilevel"/>
    <w:tmpl w:val="6F16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38605C"/>
    <w:multiLevelType w:val="hybridMultilevel"/>
    <w:tmpl w:val="87D47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647337"/>
    <w:multiLevelType w:val="hybridMultilevel"/>
    <w:tmpl w:val="8762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C91EDA"/>
    <w:multiLevelType w:val="hybridMultilevel"/>
    <w:tmpl w:val="72F0CE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7A7214"/>
    <w:multiLevelType w:val="hybridMultilevel"/>
    <w:tmpl w:val="041E2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F502D1"/>
    <w:multiLevelType w:val="hybridMultilevel"/>
    <w:tmpl w:val="889AF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9316CC"/>
    <w:multiLevelType w:val="hybridMultilevel"/>
    <w:tmpl w:val="7F74F68E"/>
    <w:lvl w:ilvl="0" w:tplc="63623E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210047"/>
    <w:multiLevelType w:val="hybridMultilevel"/>
    <w:tmpl w:val="ACB641A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062B1A"/>
    <w:multiLevelType w:val="hybridMultilevel"/>
    <w:tmpl w:val="91D87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B20760"/>
    <w:multiLevelType w:val="hybridMultilevel"/>
    <w:tmpl w:val="5B74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DE1BC1"/>
    <w:multiLevelType w:val="hybridMultilevel"/>
    <w:tmpl w:val="CC5C881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73F2EB7"/>
    <w:multiLevelType w:val="hybridMultilevel"/>
    <w:tmpl w:val="A74CC1CC"/>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29" w15:restartNumberingAfterBreak="0">
    <w:nsid w:val="6C1354DE"/>
    <w:multiLevelType w:val="hybridMultilevel"/>
    <w:tmpl w:val="0CB4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0519E7"/>
    <w:multiLevelType w:val="hybridMultilevel"/>
    <w:tmpl w:val="D4D0CAB6"/>
    <w:lvl w:ilvl="0" w:tplc="BC326ED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A1435"/>
    <w:multiLevelType w:val="hybridMultilevel"/>
    <w:tmpl w:val="F47AA374"/>
    <w:lvl w:ilvl="0" w:tplc="BC326ED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417370"/>
    <w:multiLevelType w:val="hybridMultilevel"/>
    <w:tmpl w:val="A67EB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E3028D"/>
    <w:multiLevelType w:val="multilevel"/>
    <w:tmpl w:val="14A2DA76"/>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15:restartNumberingAfterBreak="0">
    <w:nsid w:val="78DC5C92"/>
    <w:multiLevelType w:val="hybridMultilevel"/>
    <w:tmpl w:val="2602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253D00"/>
    <w:multiLevelType w:val="hybridMultilevel"/>
    <w:tmpl w:val="4A06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905C4"/>
    <w:multiLevelType w:val="multilevel"/>
    <w:tmpl w:val="CABC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2"/>
  </w:num>
  <w:num w:numId="4">
    <w:abstractNumId w:val="21"/>
  </w:num>
  <w:num w:numId="5">
    <w:abstractNumId w:val="7"/>
  </w:num>
  <w:num w:numId="6">
    <w:abstractNumId w:val="29"/>
  </w:num>
  <w:num w:numId="7">
    <w:abstractNumId w:val="25"/>
  </w:num>
  <w:num w:numId="8">
    <w:abstractNumId w:val="6"/>
  </w:num>
  <w:num w:numId="9">
    <w:abstractNumId w:val="13"/>
  </w:num>
  <w:num w:numId="10">
    <w:abstractNumId w:val="20"/>
  </w:num>
  <w:num w:numId="11">
    <w:abstractNumId w:val="10"/>
  </w:num>
  <w:num w:numId="12">
    <w:abstractNumId w:val="4"/>
  </w:num>
  <w:num w:numId="13">
    <w:abstractNumId w:val="27"/>
  </w:num>
  <w:num w:numId="14">
    <w:abstractNumId w:val="26"/>
  </w:num>
  <w:num w:numId="15">
    <w:abstractNumId w:val="15"/>
  </w:num>
  <w:num w:numId="16">
    <w:abstractNumId w:val="8"/>
  </w:num>
  <w:num w:numId="17">
    <w:abstractNumId w:val="9"/>
  </w:num>
  <w:num w:numId="18">
    <w:abstractNumId w:val="3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4"/>
  </w:num>
  <w:num w:numId="22">
    <w:abstractNumId w:val="35"/>
  </w:num>
  <w:num w:numId="23">
    <w:abstractNumId w:val="12"/>
  </w:num>
  <w:num w:numId="24">
    <w:abstractNumId w:val="23"/>
  </w:num>
  <w:num w:numId="25">
    <w:abstractNumId w:val="0"/>
  </w:num>
  <w:num w:numId="26">
    <w:abstractNumId w:val="16"/>
  </w:num>
  <w:num w:numId="27">
    <w:abstractNumId w:val="1"/>
  </w:num>
  <w:num w:numId="28">
    <w:abstractNumId w:val="18"/>
  </w:num>
  <w:num w:numId="29">
    <w:abstractNumId w:val="37"/>
  </w:num>
  <w:num w:numId="30">
    <w:abstractNumId w:val="24"/>
  </w:num>
  <w:num w:numId="31">
    <w:abstractNumId w:val="34"/>
  </w:num>
  <w:num w:numId="32">
    <w:abstractNumId w:val="31"/>
  </w:num>
  <w:num w:numId="33">
    <w:abstractNumId w:val="19"/>
  </w:num>
  <w:num w:numId="34">
    <w:abstractNumId w:val="30"/>
  </w:num>
  <w:num w:numId="35">
    <w:abstractNumId w:val="2"/>
  </w:num>
  <w:num w:numId="36">
    <w:abstractNumId w:val="36"/>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F"/>
    <w:rsid w:val="00002B0D"/>
    <w:rsid w:val="000056D4"/>
    <w:rsid w:val="00012B94"/>
    <w:rsid w:val="00036896"/>
    <w:rsid w:val="000417BB"/>
    <w:rsid w:val="000633FC"/>
    <w:rsid w:val="00070FF0"/>
    <w:rsid w:val="0007676C"/>
    <w:rsid w:val="00083301"/>
    <w:rsid w:val="00086C9B"/>
    <w:rsid w:val="00093C97"/>
    <w:rsid w:val="00097D86"/>
    <w:rsid w:val="000A2DAC"/>
    <w:rsid w:val="000A337B"/>
    <w:rsid w:val="000B5E97"/>
    <w:rsid w:val="000D0E38"/>
    <w:rsid w:val="000E2E6B"/>
    <w:rsid w:val="000E4A28"/>
    <w:rsid w:val="000F30CD"/>
    <w:rsid w:val="000F71BF"/>
    <w:rsid w:val="00107FB6"/>
    <w:rsid w:val="00116BB5"/>
    <w:rsid w:val="00120912"/>
    <w:rsid w:val="00121FDC"/>
    <w:rsid w:val="001256FC"/>
    <w:rsid w:val="001350B1"/>
    <w:rsid w:val="00137789"/>
    <w:rsid w:val="00145F8A"/>
    <w:rsid w:val="0014741B"/>
    <w:rsid w:val="001476DF"/>
    <w:rsid w:val="00152E0A"/>
    <w:rsid w:val="001543C7"/>
    <w:rsid w:val="0015449E"/>
    <w:rsid w:val="00160761"/>
    <w:rsid w:val="00165218"/>
    <w:rsid w:val="00170376"/>
    <w:rsid w:val="00185E16"/>
    <w:rsid w:val="00190109"/>
    <w:rsid w:val="00190E9E"/>
    <w:rsid w:val="001A3FAE"/>
    <w:rsid w:val="001A5DDA"/>
    <w:rsid w:val="001C76F2"/>
    <w:rsid w:val="001D3448"/>
    <w:rsid w:val="001E465A"/>
    <w:rsid w:val="001F6836"/>
    <w:rsid w:val="00207486"/>
    <w:rsid w:val="00232CBB"/>
    <w:rsid w:val="002358AD"/>
    <w:rsid w:val="0024054B"/>
    <w:rsid w:val="00242577"/>
    <w:rsid w:val="00272EEC"/>
    <w:rsid w:val="00275346"/>
    <w:rsid w:val="00282F6C"/>
    <w:rsid w:val="002855BE"/>
    <w:rsid w:val="00290A87"/>
    <w:rsid w:val="002A27A6"/>
    <w:rsid w:val="002C11F8"/>
    <w:rsid w:val="002C482D"/>
    <w:rsid w:val="002C73CF"/>
    <w:rsid w:val="002D610F"/>
    <w:rsid w:val="002E3F06"/>
    <w:rsid w:val="002E78AD"/>
    <w:rsid w:val="00314211"/>
    <w:rsid w:val="0032151F"/>
    <w:rsid w:val="003253B1"/>
    <w:rsid w:val="00326F87"/>
    <w:rsid w:val="003301F7"/>
    <w:rsid w:val="00331B29"/>
    <w:rsid w:val="003637E1"/>
    <w:rsid w:val="00382100"/>
    <w:rsid w:val="003822D5"/>
    <w:rsid w:val="00386EBD"/>
    <w:rsid w:val="003A218E"/>
    <w:rsid w:val="003A3978"/>
    <w:rsid w:val="003A6FC0"/>
    <w:rsid w:val="003A762A"/>
    <w:rsid w:val="003D67E0"/>
    <w:rsid w:val="003E2E45"/>
    <w:rsid w:val="003F1969"/>
    <w:rsid w:val="00400A86"/>
    <w:rsid w:val="00412A38"/>
    <w:rsid w:val="004331BC"/>
    <w:rsid w:val="0043360C"/>
    <w:rsid w:val="004372E8"/>
    <w:rsid w:val="0043763B"/>
    <w:rsid w:val="00440FE8"/>
    <w:rsid w:val="00441107"/>
    <w:rsid w:val="00442D30"/>
    <w:rsid w:val="0044474D"/>
    <w:rsid w:val="00446F22"/>
    <w:rsid w:val="004553E9"/>
    <w:rsid w:val="00464A7E"/>
    <w:rsid w:val="00471A07"/>
    <w:rsid w:val="00485B5E"/>
    <w:rsid w:val="00490147"/>
    <w:rsid w:val="004907F0"/>
    <w:rsid w:val="0049108C"/>
    <w:rsid w:val="004A1021"/>
    <w:rsid w:val="004B2C5F"/>
    <w:rsid w:val="004D4D80"/>
    <w:rsid w:val="004D6397"/>
    <w:rsid w:val="004F4BCD"/>
    <w:rsid w:val="00515EB8"/>
    <w:rsid w:val="00521502"/>
    <w:rsid w:val="00524B3B"/>
    <w:rsid w:val="005340A9"/>
    <w:rsid w:val="00544043"/>
    <w:rsid w:val="005456D0"/>
    <w:rsid w:val="00545CB5"/>
    <w:rsid w:val="0054784B"/>
    <w:rsid w:val="00555C98"/>
    <w:rsid w:val="00567604"/>
    <w:rsid w:val="0057608E"/>
    <w:rsid w:val="0058164F"/>
    <w:rsid w:val="00582819"/>
    <w:rsid w:val="00591C92"/>
    <w:rsid w:val="005A6066"/>
    <w:rsid w:val="005A741A"/>
    <w:rsid w:val="005B1416"/>
    <w:rsid w:val="005C3332"/>
    <w:rsid w:val="005D0F96"/>
    <w:rsid w:val="005E1B5F"/>
    <w:rsid w:val="005F1387"/>
    <w:rsid w:val="005F1D37"/>
    <w:rsid w:val="005F3117"/>
    <w:rsid w:val="005F44E1"/>
    <w:rsid w:val="005F5F5C"/>
    <w:rsid w:val="00613B49"/>
    <w:rsid w:val="00613F52"/>
    <w:rsid w:val="00624763"/>
    <w:rsid w:val="00624C85"/>
    <w:rsid w:val="00626E73"/>
    <w:rsid w:val="00630F4D"/>
    <w:rsid w:val="00637188"/>
    <w:rsid w:val="00641972"/>
    <w:rsid w:val="00646B1F"/>
    <w:rsid w:val="00653BC4"/>
    <w:rsid w:val="00660CA3"/>
    <w:rsid w:val="00672CE9"/>
    <w:rsid w:val="0068243C"/>
    <w:rsid w:val="00687739"/>
    <w:rsid w:val="006926C1"/>
    <w:rsid w:val="00693155"/>
    <w:rsid w:val="006A0842"/>
    <w:rsid w:val="006A706F"/>
    <w:rsid w:val="006B0DC3"/>
    <w:rsid w:val="006C4C4E"/>
    <w:rsid w:val="006C7F59"/>
    <w:rsid w:val="006E1F91"/>
    <w:rsid w:val="006E5D7A"/>
    <w:rsid w:val="006F044F"/>
    <w:rsid w:val="00712646"/>
    <w:rsid w:val="00713BB7"/>
    <w:rsid w:val="007210BE"/>
    <w:rsid w:val="00722832"/>
    <w:rsid w:val="007324B3"/>
    <w:rsid w:val="00733CCC"/>
    <w:rsid w:val="00736957"/>
    <w:rsid w:val="0074016B"/>
    <w:rsid w:val="0074675E"/>
    <w:rsid w:val="007467E3"/>
    <w:rsid w:val="0076067F"/>
    <w:rsid w:val="00761822"/>
    <w:rsid w:val="00783ACD"/>
    <w:rsid w:val="007940C5"/>
    <w:rsid w:val="00796607"/>
    <w:rsid w:val="007B0AC9"/>
    <w:rsid w:val="007B1B9A"/>
    <w:rsid w:val="007C4B57"/>
    <w:rsid w:val="007C6DD1"/>
    <w:rsid w:val="007D07CF"/>
    <w:rsid w:val="007D4F51"/>
    <w:rsid w:val="007E48F2"/>
    <w:rsid w:val="007F3D75"/>
    <w:rsid w:val="007F56B2"/>
    <w:rsid w:val="00801D53"/>
    <w:rsid w:val="00813E39"/>
    <w:rsid w:val="00825DAE"/>
    <w:rsid w:val="00832B3C"/>
    <w:rsid w:val="00833291"/>
    <w:rsid w:val="00834EBD"/>
    <w:rsid w:val="00850773"/>
    <w:rsid w:val="00851919"/>
    <w:rsid w:val="00853754"/>
    <w:rsid w:val="0085458F"/>
    <w:rsid w:val="00895A72"/>
    <w:rsid w:val="008A0CE8"/>
    <w:rsid w:val="008A2B80"/>
    <w:rsid w:val="008B2E33"/>
    <w:rsid w:val="008D6C5B"/>
    <w:rsid w:val="008F1E37"/>
    <w:rsid w:val="00905BF9"/>
    <w:rsid w:val="00915F9B"/>
    <w:rsid w:val="00925C62"/>
    <w:rsid w:val="00927316"/>
    <w:rsid w:val="00930FED"/>
    <w:rsid w:val="00932F92"/>
    <w:rsid w:val="009370F3"/>
    <w:rsid w:val="009415D5"/>
    <w:rsid w:val="00941A19"/>
    <w:rsid w:val="00965ADF"/>
    <w:rsid w:val="009711B3"/>
    <w:rsid w:val="00972C89"/>
    <w:rsid w:val="00985773"/>
    <w:rsid w:val="009A48C1"/>
    <w:rsid w:val="009B00BE"/>
    <w:rsid w:val="009C066A"/>
    <w:rsid w:val="009C25AD"/>
    <w:rsid w:val="009F656B"/>
    <w:rsid w:val="009F6CA6"/>
    <w:rsid w:val="00A012AF"/>
    <w:rsid w:val="00A02B15"/>
    <w:rsid w:val="00A032A5"/>
    <w:rsid w:val="00A21722"/>
    <w:rsid w:val="00A414CB"/>
    <w:rsid w:val="00A4592A"/>
    <w:rsid w:val="00A517DE"/>
    <w:rsid w:val="00A557A8"/>
    <w:rsid w:val="00A5646C"/>
    <w:rsid w:val="00A66EEB"/>
    <w:rsid w:val="00A730B7"/>
    <w:rsid w:val="00A870C9"/>
    <w:rsid w:val="00A925E7"/>
    <w:rsid w:val="00AA424A"/>
    <w:rsid w:val="00AD1E44"/>
    <w:rsid w:val="00AD623E"/>
    <w:rsid w:val="00AF0FAC"/>
    <w:rsid w:val="00AF31AB"/>
    <w:rsid w:val="00AF78E9"/>
    <w:rsid w:val="00B02B20"/>
    <w:rsid w:val="00B10EAF"/>
    <w:rsid w:val="00B233EC"/>
    <w:rsid w:val="00B26C94"/>
    <w:rsid w:val="00B3687C"/>
    <w:rsid w:val="00B474E7"/>
    <w:rsid w:val="00B51AD1"/>
    <w:rsid w:val="00B55BF2"/>
    <w:rsid w:val="00B6399B"/>
    <w:rsid w:val="00B72B95"/>
    <w:rsid w:val="00B76193"/>
    <w:rsid w:val="00B95FF4"/>
    <w:rsid w:val="00BA0153"/>
    <w:rsid w:val="00BA0B27"/>
    <w:rsid w:val="00BA25ED"/>
    <w:rsid w:val="00BB51AC"/>
    <w:rsid w:val="00BB799A"/>
    <w:rsid w:val="00BB7B3F"/>
    <w:rsid w:val="00BC1308"/>
    <w:rsid w:val="00BC173B"/>
    <w:rsid w:val="00BD4FE4"/>
    <w:rsid w:val="00BE09DF"/>
    <w:rsid w:val="00BE68A6"/>
    <w:rsid w:val="00BF0875"/>
    <w:rsid w:val="00BF113A"/>
    <w:rsid w:val="00BF6297"/>
    <w:rsid w:val="00C03CC7"/>
    <w:rsid w:val="00C10F7D"/>
    <w:rsid w:val="00C1263B"/>
    <w:rsid w:val="00C1339B"/>
    <w:rsid w:val="00C2312F"/>
    <w:rsid w:val="00C26CF1"/>
    <w:rsid w:val="00C3085C"/>
    <w:rsid w:val="00C3293F"/>
    <w:rsid w:val="00C373FF"/>
    <w:rsid w:val="00C4079F"/>
    <w:rsid w:val="00C46D32"/>
    <w:rsid w:val="00C52F88"/>
    <w:rsid w:val="00C5778C"/>
    <w:rsid w:val="00C75E71"/>
    <w:rsid w:val="00C7736A"/>
    <w:rsid w:val="00C8742F"/>
    <w:rsid w:val="00C92870"/>
    <w:rsid w:val="00C9331A"/>
    <w:rsid w:val="00C946C7"/>
    <w:rsid w:val="00C97B7B"/>
    <w:rsid w:val="00CA6256"/>
    <w:rsid w:val="00CB08F1"/>
    <w:rsid w:val="00CB3F0C"/>
    <w:rsid w:val="00CB6396"/>
    <w:rsid w:val="00CC46F6"/>
    <w:rsid w:val="00CD4EDD"/>
    <w:rsid w:val="00CE28F7"/>
    <w:rsid w:val="00CF11A8"/>
    <w:rsid w:val="00D034DA"/>
    <w:rsid w:val="00D13850"/>
    <w:rsid w:val="00D15DF6"/>
    <w:rsid w:val="00D224DB"/>
    <w:rsid w:val="00D30969"/>
    <w:rsid w:val="00D325FC"/>
    <w:rsid w:val="00D42B4E"/>
    <w:rsid w:val="00D46295"/>
    <w:rsid w:val="00D829ED"/>
    <w:rsid w:val="00D84D25"/>
    <w:rsid w:val="00D85DA0"/>
    <w:rsid w:val="00D877D9"/>
    <w:rsid w:val="00D90A37"/>
    <w:rsid w:val="00D96144"/>
    <w:rsid w:val="00D9795D"/>
    <w:rsid w:val="00DA3FB0"/>
    <w:rsid w:val="00DA7AA2"/>
    <w:rsid w:val="00DB19A5"/>
    <w:rsid w:val="00DB3746"/>
    <w:rsid w:val="00DB3C3D"/>
    <w:rsid w:val="00DB6FF2"/>
    <w:rsid w:val="00DD07B6"/>
    <w:rsid w:val="00DD53FD"/>
    <w:rsid w:val="00DE4C9F"/>
    <w:rsid w:val="00DE5FB3"/>
    <w:rsid w:val="00E0637B"/>
    <w:rsid w:val="00E06E41"/>
    <w:rsid w:val="00E508BF"/>
    <w:rsid w:val="00E539C2"/>
    <w:rsid w:val="00E668B3"/>
    <w:rsid w:val="00E674D0"/>
    <w:rsid w:val="00E765D9"/>
    <w:rsid w:val="00E851F6"/>
    <w:rsid w:val="00E87561"/>
    <w:rsid w:val="00E91E15"/>
    <w:rsid w:val="00E96001"/>
    <w:rsid w:val="00EA2E36"/>
    <w:rsid w:val="00EB1F92"/>
    <w:rsid w:val="00EB2B1C"/>
    <w:rsid w:val="00EC0F49"/>
    <w:rsid w:val="00EC32DE"/>
    <w:rsid w:val="00ED28D7"/>
    <w:rsid w:val="00EF0C0E"/>
    <w:rsid w:val="00EF2A94"/>
    <w:rsid w:val="00F30D50"/>
    <w:rsid w:val="00F35700"/>
    <w:rsid w:val="00F53329"/>
    <w:rsid w:val="00F628F2"/>
    <w:rsid w:val="00F655DF"/>
    <w:rsid w:val="00F83765"/>
    <w:rsid w:val="00F83FC6"/>
    <w:rsid w:val="00F86DFE"/>
    <w:rsid w:val="00F91CAA"/>
    <w:rsid w:val="00FA38DC"/>
    <w:rsid w:val="00FA4279"/>
    <w:rsid w:val="00FA76BC"/>
    <w:rsid w:val="00FB3A81"/>
    <w:rsid w:val="00FC13C4"/>
    <w:rsid w:val="00FD6235"/>
    <w:rsid w:val="00FD7D28"/>
    <w:rsid w:val="00FE307B"/>
    <w:rsid w:val="00FF748F"/>
    <w:rsid w:val="00FF7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6562"/>
  <w15:docId w15:val="{7F51E7C4-EB8D-49C3-8F40-6593BEC2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87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link w:val="Heading7Char"/>
    <w:qFormat/>
    <w:rsid w:val="00567604"/>
    <w:pPr>
      <w:numPr>
        <w:ilvl w:val="6"/>
        <w:numId w:val="31"/>
      </w:numPr>
      <w:spacing w:after="0" w:line="240" w:lineRule="auto"/>
      <w:outlineLvl w:val="6"/>
    </w:pPr>
    <w:rPr>
      <w:rFonts w:ascii="Gill Sans MT" w:eastAsia="Times New Roman" w:hAnsi="Gill Sans MT" w:cs="Times New Roman"/>
      <w:b/>
      <w:szCs w:val="24"/>
    </w:rPr>
  </w:style>
  <w:style w:type="paragraph" w:styleId="Heading8">
    <w:name w:val="heading 8"/>
    <w:link w:val="Heading8Char"/>
    <w:qFormat/>
    <w:rsid w:val="00567604"/>
    <w:pPr>
      <w:numPr>
        <w:ilvl w:val="7"/>
        <w:numId w:val="31"/>
      </w:numPr>
      <w:spacing w:after="0" w:line="240" w:lineRule="auto"/>
      <w:outlineLvl w:val="7"/>
    </w:pPr>
    <w:rPr>
      <w:rFonts w:ascii="Gill Sans MT" w:eastAsia="Times New Roman" w:hAnsi="Gill Sans MT" w:cs="Times New Roman"/>
      <w:iCs/>
      <w:szCs w:val="24"/>
    </w:rPr>
  </w:style>
  <w:style w:type="paragraph" w:styleId="Heading9">
    <w:name w:val="heading 9"/>
    <w:link w:val="Heading9Char"/>
    <w:qFormat/>
    <w:rsid w:val="00567604"/>
    <w:pPr>
      <w:numPr>
        <w:ilvl w:val="8"/>
        <w:numId w:val="31"/>
      </w:numPr>
      <w:spacing w:after="0" w:line="240" w:lineRule="auto"/>
      <w:outlineLvl w:val="8"/>
    </w:pPr>
    <w:rPr>
      <w:rFonts w:ascii="Gill Sans MT" w:eastAsia="Times New Roman" w:hAnsi="Gill Sans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39B"/>
  </w:style>
  <w:style w:type="paragraph" w:styleId="Footer">
    <w:name w:val="footer"/>
    <w:basedOn w:val="Normal"/>
    <w:link w:val="FooterChar"/>
    <w:uiPriority w:val="99"/>
    <w:unhideWhenUsed/>
    <w:rsid w:val="00C13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39B"/>
  </w:style>
  <w:style w:type="paragraph" w:styleId="ListParagraph">
    <w:name w:val="List Paragraph"/>
    <w:aliases w:val="Bullet point,Bullets,CV text,Dot pt,F5 List Paragraph,FooterText,L,List Paragraph Number,List Paragraph1,List Paragraph11,List Paragraph111,List Paragraph2,Medium Grid 1 - Accent 21,NAST Quote,NFP GP Bulleted List,Recommendation,リスト段落,列"/>
    <w:basedOn w:val="Normal"/>
    <w:link w:val="ListParagraphChar"/>
    <w:uiPriority w:val="34"/>
    <w:qFormat/>
    <w:rsid w:val="006926C1"/>
    <w:pPr>
      <w:ind w:left="720"/>
      <w:contextualSpacing/>
    </w:pPr>
  </w:style>
  <w:style w:type="table" w:styleId="TableGrid">
    <w:name w:val="Table Grid"/>
    <w:basedOn w:val="TableNormal"/>
    <w:uiPriority w:val="59"/>
    <w:rsid w:val="0069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 Number Char,List Paragraph1 Char,List Paragraph11 Char,List Paragraph111 Char,List Paragraph2 Char,NAST Quote Char"/>
    <w:basedOn w:val="DefaultParagraphFont"/>
    <w:link w:val="ListParagraph"/>
    <w:uiPriority w:val="34"/>
    <w:rsid w:val="006926C1"/>
  </w:style>
  <w:style w:type="paragraph" w:styleId="EndnoteText">
    <w:name w:val="endnote text"/>
    <w:basedOn w:val="Normal"/>
    <w:link w:val="EndnoteTextChar"/>
    <w:rsid w:val="002D610F"/>
    <w:pPr>
      <w:spacing w:after="0" w:line="240" w:lineRule="auto"/>
    </w:pPr>
    <w:rPr>
      <w:rFonts w:ascii="GillSans Light" w:eastAsia="Cambria" w:hAnsi="GillSans Light" w:cs="Times New Roman"/>
      <w:sz w:val="20"/>
      <w:szCs w:val="20"/>
      <w:lang w:val="en-US"/>
    </w:rPr>
  </w:style>
  <w:style w:type="character" w:customStyle="1" w:styleId="EndnoteTextChar">
    <w:name w:val="Endnote Text Char"/>
    <w:basedOn w:val="DefaultParagraphFont"/>
    <w:link w:val="EndnoteText"/>
    <w:rsid w:val="002D610F"/>
    <w:rPr>
      <w:rFonts w:ascii="GillSans Light" w:eastAsia="Cambria" w:hAnsi="GillSans Light" w:cs="Times New Roman"/>
      <w:sz w:val="20"/>
      <w:szCs w:val="20"/>
      <w:lang w:val="en-US"/>
    </w:rPr>
  </w:style>
  <w:style w:type="character" w:styleId="EndnoteReference">
    <w:name w:val="endnote reference"/>
    <w:basedOn w:val="DefaultParagraphFont"/>
    <w:rsid w:val="002D610F"/>
    <w:rPr>
      <w:vertAlign w:val="superscript"/>
    </w:rPr>
  </w:style>
  <w:style w:type="paragraph" w:customStyle="1" w:styleId="BulletedListLevel1">
    <w:name w:val="Bulleted List Level 1"/>
    <w:link w:val="BulletedListLevel1Char"/>
    <w:rsid w:val="002D610F"/>
    <w:pPr>
      <w:keepLines/>
      <w:numPr>
        <w:numId w:val="2"/>
      </w:numPr>
      <w:tabs>
        <w:tab w:val="left" w:pos="1134"/>
      </w:tabs>
      <w:spacing w:after="140" w:line="300" w:lineRule="atLeast"/>
    </w:pPr>
    <w:rPr>
      <w:rFonts w:ascii="Gill Sans MT" w:eastAsia="Times New Roman" w:hAnsi="Gill Sans MT" w:cs="Times New Roman"/>
      <w:sz w:val="24"/>
      <w:szCs w:val="24"/>
    </w:rPr>
  </w:style>
  <w:style w:type="character" w:customStyle="1" w:styleId="BulletedListLevel1Char">
    <w:name w:val="Bulleted List Level 1 Char"/>
    <w:basedOn w:val="DefaultParagraphFont"/>
    <w:link w:val="BulletedListLevel1"/>
    <w:rsid w:val="002D610F"/>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61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9"/>
    <w:rPr>
      <w:rFonts w:ascii="Tahoma" w:hAnsi="Tahoma" w:cs="Tahoma"/>
      <w:sz w:val="16"/>
      <w:szCs w:val="16"/>
    </w:rPr>
  </w:style>
  <w:style w:type="character" w:styleId="Hyperlink">
    <w:name w:val="Hyperlink"/>
    <w:basedOn w:val="DefaultParagraphFont"/>
    <w:uiPriority w:val="99"/>
    <w:unhideWhenUsed/>
    <w:rsid w:val="00D15DF6"/>
    <w:rPr>
      <w:color w:val="0000FF" w:themeColor="hyperlink"/>
      <w:u w:val="single"/>
    </w:rPr>
  </w:style>
  <w:style w:type="character" w:styleId="FollowedHyperlink">
    <w:name w:val="FollowedHyperlink"/>
    <w:basedOn w:val="DefaultParagraphFont"/>
    <w:uiPriority w:val="99"/>
    <w:semiHidden/>
    <w:unhideWhenUsed/>
    <w:rsid w:val="00D15DF6"/>
    <w:rPr>
      <w:color w:val="800080" w:themeColor="followedHyperlink"/>
      <w:u w:val="single"/>
    </w:rPr>
  </w:style>
  <w:style w:type="paragraph" w:styleId="Revision">
    <w:name w:val="Revision"/>
    <w:hidden/>
    <w:uiPriority w:val="99"/>
    <w:semiHidden/>
    <w:rsid w:val="00722832"/>
    <w:pPr>
      <w:spacing w:after="0" w:line="240" w:lineRule="auto"/>
    </w:pPr>
  </w:style>
  <w:style w:type="paragraph" w:styleId="ListBullet">
    <w:name w:val="List Bullet"/>
    <w:basedOn w:val="BulletedListLevel1"/>
    <w:semiHidden/>
    <w:rsid w:val="003253B1"/>
    <w:pPr>
      <w:keepLines w:val="0"/>
      <w:numPr>
        <w:numId w:val="0"/>
      </w:numPr>
      <w:tabs>
        <w:tab w:val="clear" w:pos="1134"/>
      </w:tabs>
    </w:pPr>
    <w:rPr>
      <w:sz w:val="22"/>
    </w:rPr>
  </w:style>
  <w:style w:type="paragraph" w:styleId="NormalWeb">
    <w:name w:val="Normal (Web)"/>
    <w:basedOn w:val="Normal"/>
    <w:uiPriority w:val="99"/>
    <w:unhideWhenUsed/>
    <w:rsid w:val="00B474E7"/>
    <w:pPr>
      <w:spacing w:after="150" w:line="240" w:lineRule="auto"/>
    </w:pPr>
    <w:rPr>
      <w:rFonts w:ascii="Times New Roman" w:hAnsi="Times New Roman" w:cs="Times New Roman"/>
      <w:sz w:val="24"/>
      <w:szCs w:val="24"/>
      <w:lang w:eastAsia="en-AU"/>
    </w:rPr>
  </w:style>
  <w:style w:type="paragraph" w:customStyle="1" w:styleId="GovHeading3">
    <w:name w:val="Gov Heading 3"/>
    <w:uiPriority w:val="99"/>
    <w:qFormat/>
    <w:rsid w:val="00B474E7"/>
    <w:pPr>
      <w:spacing w:before="240" w:after="120" w:line="240" w:lineRule="auto"/>
    </w:pPr>
    <w:rPr>
      <w:rFonts w:ascii="GillSans" w:eastAsia="Times New Roman" w:hAnsi="GillSans" w:cs="Times New Roman"/>
      <w:bCs/>
      <w:sz w:val="32"/>
      <w:szCs w:val="24"/>
      <w:lang w:val="en-US"/>
    </w:rPr>
  </w:style>
  <w:style w:type="paragraph" w:customStyle="1" w:styleId="Default">
    <w:name w:val="Default"/>
    <w:rsid w:val="00A032A5"/>
    <w:pPr>
      <w:autoSpaceDE w:val="0"/>
      <w:autoSpaceDN w:val="0"/>
      <w:adjustRightInd w:val="0"/>
      <w:spacing w:after="0" w:line="240" w:lineRule="auto"/>
    </w:pPr>
    <w:rPr>
      <w:rFonts w:ascii="Gill Sans MT" w:hAnsi="Gill Sans MT" w:cs="Gill Sans MT"/>
      <w:color w:val="000000"/>
      <w:sz w:val="24"/>
      <w:szCs w:val="24"/>
    </w:rPr>
  </w:style>
  <w:style w:type="paragraph" w:customStyle="1" w:styleId="Level2DiscussionAction">
    <w:name w:val="Level 2 Discussion Action"/>
    <w:basedOn w:val="Normal"/>
    <w:rsid w:val="00160761"/>
    <w:pPr>
      <w:tabs>
        <w:tab w:val="left" w:pos="567"/>
      </w:tabs>
      <w:spacing w:after="0" w:line="240" w:lineRule="auto"/>
    </w:pPr>
    <w:rPr>
      <w:rFonts w:ascii="Gill Sans MT" w:eastAsia="Times New Roman" w:hAnsi="Gill Sans MT" w:cs="Times New Roman"/>
      <w:szCs w:val="24"/>
    </w:rPr>
  </w:style>
  <w:style w:type="paragraph" w:customStyle="1" w:styleId="RFQNormal12">
    <w:name w:val="RFQ Normal 12"/>
    <w:basedOn w:val="Normal"/>
    <w:rsid w:val="001350B1"/>
    <w:pPr>
      <w:spacing w:after="120" w:line="240" w:lineRule="auto"/>
    </w:pPr>
    <w:rPr>
      <w:rFonts w:ascii="Arial" w:eastAsia="Times New Roman" w:hAnsi="Arial" w:cs="Arial"/>
      <w:sz w:val="24"/>
      <w:szCs w:val="24"/>
    </w:rPr>
  </w:style>
  <w:style w:type="paragraph" w:customStyle="1" w:styleId="Contact">
    <w:name w:val="Contact"/>
    <w:semiHidden/>
    <w:rsid w:val="00D325FC"/>
    <w:pPr>
      <w:spacing w:before="40" w:after="40" w:line="240" w:lineRule="auto"/>
    </w:pPr>
    <w:rPr>
      <w:rFonts w:ascii="Gill Sans MT" w:eastAsia="Times New Roman" w:hAnsi="Gill Sans MT" w:cs="Times New Roman"/>
      <w:sz w:val="20"/>
      <w:szCs w:val="24"/>
    </w:rPr>
  </w:style>
  <w:style w:type="character" w:styleId="CommentReference">
    <w:name w:val="annotation reference"/>
    <w:basedOn w:val="DefaultParagraphFont"/>
    <w:uiPriority w:val="99"/>
    <w:semiHidden/>
    <w:unhideWhenUsed/>
    <w:rsid w:val="008B2E33"/>
    <w:rPr>
      <w:sz w:val="16"/>
      <w:szCs w:val="16"/>
    </w:rPr>
  </w:style>
  <w:style w:type="paragraph" w:styleId="CommentText">
    <w:name w:val="annotation text"/>
    <w:basedOn w:val="Normal"/>
    <w:link w:val="CommentTextChar"/>
    <w:uiPriority w:val="99"/>
    <w:semiHidden/>
    <w:unhideWhenUsed/>
    <w:rsid w:val="008B2E33"/>
    <w:pPr>
      <w:spacing w:line="240" w:lineRule="auto"/>
    </w:pPr>
    <w:rPr>
      <w:sz w:val="20"/>
      <w:szCs w:val="20"/>
    </w:rPr>
  </w:style>
  <w:style w:type="character" w:customStyle="1" w:styleId="CommentTextChar">
    <w:name w:val="Comment Text Char"/>
    <w:basedOn w:val="DefaultParagraphFont"/>
    <w:link w:val="CommentText"/>
    <w:uiPriority w:val="99"/>
    <w:semiHidden/>
    <w:rsid w:val="008B2E33"/>
    <w:rPr>
      <w:sz w:val="20"/>
      <w:szCs w:val="20"/>
    </w:rPr>
  </w:style>
  <w:style w:type="paragraph" w:styleId="CommentSubject">
    <w:name w:val="annotation subject"/>
    <w:basedOn w:val="CommentText"/>
    <w:next w:val="CommentText"/>
    <w:link w:val="CommentSubjectChar"/>
    <w:uiPriority w:val="99"/>
    <w:semiHidden/>
    <w:unhideWhenUsed/>
    <w:rsid w:val="008B2E33"/>
    <w:rPr>
      <w:b/>
      <w:bCs/>
    </w:rPr>
  </w:style>
  <w:style w:type="character" w:customStyle="1" w:styleId="CommentSubjectChar">
    <w:name w:val="Comment Subject Char"/>
    <w:basedOn w:val="CommentTextChar"/>
    <w:link w:val="CommentSubject"/>
    <w:uiPriority w:val="99"/>
    <w:semiHidden/>
    <w:rsid w:val="008B2E33"/>
    <w:rPr>
      <w:b/>
      <w:bCs/>
      <w:sz w:val="20"/>
      <w:szCs w:val="20"/>
    </w:rPr>
  </w:style>
  <w:style w:type="paragraph" w:styleId="BodyTextIndent">
    <w:name w:val="Body Text Indent"/>
    <w:basedOn w:val="Normal"/>
    <w:link w:val="BodyTextIndentChar"/>
    <w:rsid w:val="006B0DC3"/>
    <w:pPr>
      <w:spacing w:after="120" w:line="240" w:lineRule="auto"/>
      <w:ind w:left="360"/>
    </w:pPr>
    <w:rPr>
      <w:rFonts w:ascii="Arial" w:eastAsia="Times New Roman" w:hAnsi="Arial" w:cs="Times New Roman"/>
      <w:sz w:val="24"/>
      <w:szCs w:val="20"/>
      <w:lang w:val="x-none" w:eastAsia="x-none"/>
    </w:rPr>
  </w:style>
  <w:style w:type="character" w:customStyle="1" w:styleId="BodyTextIndentChar">
    <w:name w:val="Body Text Indent Char"/>
    <w:basedOn w:val="DefaultParagraphFont"/>
    <w:link w:val="BodyTextIndent"/>
    <w:rsid w:val="006B0DC3"/>
    <w:rPr>
      <w:rFonts w:ascii="Arial" w:eastAsia="Times New Roman" w:hAnsi="Arial" w:cs="Times New Roman"/>
      <w:sz w:val="24"/>
      <w:szCs w:val="20"/>
      <w:lang w:val="x-none" w:eastAsia="x-none"/>
    </w:rPr>
  </w:style>
  <w:style w:type="paragraph" w:styleId="FootnoteText">
    <w:name w:val="footnote text"/>
    <w:basedOn w:val="Normal"/>
    <w:link w:val="FootnoteTextChar"/>
    <w:semiHidden/>
    <w:unhideWhenUsed/>
    <w:rsid w:val="0044474D"/>
    <w:pPr>
      <w:spacing w:after="0" w:line="240" w:lineRule="auto"/>
    </w:pPr>
    <w:rPr>
      <w:sz w:val="20"/>
      <w:szCs w:val="20"/>
    </w:rPr>
  </w:style>
  <w:style w:type="character" w:customStyle="1" w:styleId="FootnoteTextChar">
    <w:name w:val="Footnote Text Char"/>
    <w:basedOn w:val="DefaultParagraphFont"/>
    <w:link w:val="FootnoteText"/>
    <w:semiHidden/>
    <w:rsid w:val="0044474D"/>
    <w:rPr>
      <w:sz w:val="20"/>
      <w:szCs w:val="20"/>
    </w:rPr>
  </w:style>
  <w:style w:type="character" w:styleId="FootnoteReference">
    <w:name w:val="footnote reference"/>
    <w:basedOn w:val="DefaultParagraphFont"/>
    <w:semiHidden/>
    <w:unhideWhenUsed/>
    <w:rsid w:val="0044474D"/>
    <w:rPr>
      <w:vertAlign w:val="superscript"/>
    </w:rPr>
  </w:style>
  <w:style w:type="paragraph" w:styleId="ListBullet2">
    <w:name w:val="List Bullet 2"/>
    <w:basedOn w:val="Normal"/>
    <w:uiPriority w:val="99"/>
    <w:unhideWhenUsed/>
    <w:rsid w:val="005F1D37"/>
    <w:pPr>
      <w:numPr>
        <w:numId w:val="25"/>
      </w:numPr>
      <w:contextualSpacing/>
    </w:pPr>
  </w:style>
  <w:style w:type="paragraph" w:customStyle="1" w:styleId="first">
    <w:name w:val="first"/>
    <w:basedOn w:val="Normal"/>
    <w:rsid w:val="00D85D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85DA0"/>
  </w:style>
  <w:style w:type="character" w:styleId="Strong">
    <w:name w:val="Strong"/>
    <w:basedOn w:val="DefaultParagraphFont"/>
    <w:uiPriority w:val="22"/>
    <w:qFormat/>
    <w:rsid w:val="00D85DA0"/>
    <w:rPr>
      <w:b/>
      <w:bCs/>
    </w:rPr>
  </w:style>
  <w:style w:type="character" w:customStyle="1" w:styleId="Heading7Char">
    <w:name w:val="Heading 7 Char"/>
    <w:basedOn w:val="DefaultParagraphFont"/>
    <w:link w:val="Heading7"/>
    <w:rsid w:val="00567604"/>
    <w:rPr>
      <w:rFonts w:ascii="Gill Sans MT" w:eastAsia="Times New Roman" w:hAnsi="Gill Sans MT" w:cs="Times New Roman"/>
      <w:b/>
      <w:szCs w:val="24"/>
    </w:rPr>
  </w:style>
  <w:style w:type="character" w:customStyle="1" w:styleId="Heading8Char">
    <w:name w:val="Heading 8 Char"/>
    <w:basedOn w:val="DefaultParagraphFont"/>
    <w:link w:val="Heading8"/>
    <w:rsid w:val="00567604"/>
    <w:rPr>
      <w:rFonts w:ascii="Gill Sans MT" w:eastAsia="Times New Roman" w:hAnsi="Gill Sans MT" w:cs="Times New Roman"/>
      <w:iCs/>
      <w:szCs w:val="24"/>
    </w:rPr>
  </w:style>
  <w:style w:type="character" w:customStyle="1" w:styleId="Heading9Char">
    <w:name w:val="Heading 9 Char"/>
    <w:basedOn w:val="DefaultParagraphFont"/>
    <w:link w:val="Heading9"/>
    <w:rsid w:val="00567604"/>
    <w:rPr>
      <w:rFonts w:ascii="Gill Sans MT" w:eastAsia="Times New Roman" w:hAnsi="Gill Sans MT" w:cs="Times New Roman"/>
      <w:szCs w:val="24"/>
    </w:rPr>
  </w:style>
  <w:style w:type="paragraph" w:customStyle="1" w:styleId="ItemHeadingLevel1">
    <w:name w:val="Item Heading Level 1"/>
    <w:rsid w:val="00567604"/>
    <w:pPr>
      <w:numPr>
        <w:numId w:val="31"/>
      </w:numPr>
      <w:spacing w:after="0" w:line="240" w:lineRule="auto"/>
      <w:outlineLvl w:val="0"/>
    </w:pPr>
    <w:rPr>
      <w:rFonts w:ascii="Gill Sans MT" w:eastAsia="Times New Roman" w:hAnsi="Gill Sans MT" w:cs="Times New Roman"/>
      <w:b/>
      <w:szCs w:val="24"/>
    </w:rPr>
  </w:style>
  <w:style w:type="paragraph" w:customStyle="1" w:styleId="ItemLevel2">
    <w:name w:val="Item Level 2"/>
    <w:rsid w:val="00567604"/>
    <w:pPr>
      <w:numPr>
        <w:ilvl w:val="1"/>
        <w:numId w:val="31"/>
      </w:numPr>
      <w:tabs>
        <w:tab w:val="num" w:pos="851"/>
      </w:tabs>
      <w:spacing w:after="0" w:line="240" w:lineRule="auto"/>
      <w:ind w:left="851"/>
      <w:outlineLvl w:val="1"/>
    </w:pPr>
    <w:rPr>
      <w:rFonts w:ascii="Gill Sans MT" w:eastAsia="Times New Roman" w:hAnsi="Gill Sans MT" w:cs="Times New Roman"/>
      <w:szCs w:val="24"/>
    </w:rPr>
  </w:style>
  <w:style w:type="paragraph" w:customStyle="1" w:styleId="ItemLevel3">
    <w:name w:val="Item Level 3"/>
    <w:rsid w:val="00567604"/>
    <w:pPr>
      <w:numPr>
        <w:ilvl w:val="2"/>
        <w:numId w:val="31"/>
      </w:numPr>
      <w:tabs>
        <w:tab w:val="num" w:pos="1134"/>
      </w:tabs>
      <w:spacing w:after="0" w:line="240" w:lineRule="auto"/>
      <w:ind w:left="1134"/>
      <w:outlineLvl w:val="2"/>
    </w:pPr>
    <w:rPr>
      <w:rFonts w:ascii="Gill Sans MT" w:eastAsia="Times New Roman" w:hAnsi="Gill Sans MT" w:cs="Times New Roman"/>
      <w:szCs w:val="24"/>
    </w:rPr>
  </w:style>
  <w:style w:type="paragraph" w:customStyle="1" w:styleId="DHHSbody">
    <w:name w:val="DHHS body"/>
    <w:link w:val="DHHSbodyChar"/>
    <w:qFormat/>
    <w:rsid w:val="00567604"/>
    <w:pPr>
      <w:spacing w:after="120" w:line="270" w:lineRule="atLeast"/>
    </w:pPr>
    <w:rPr>
      <w:rFonts w:ascii="Arial" w:eastAsia="Times" w:hAnsi="Arial" w:cs="Times New Roman"/>
      <w:sz w:val="20"/>
      <w:szCs w:val="20"/>
    </w:rPr>
  </w:style>
  <w:style w:type="character" w:customStyle="1" w:styleId="DHHSbodyChar">
    <w:name w:val="DHHS body Char"/>
    <w:link w:val="DHHSbody"/>
    <w:rsid w:val="00567604"/>
    <w:rPr>
      <w:rFonts w:ascii="Arial" w:eastAsia="Times" w:hAnsi="Arial" w:cs="Times New Roman"/>
      <w:sz w:val="20"/>
      <w:szCs w:val="20"/>
    </w:rPr>
  </w:style>
  <w:style w:type="character" w:styleId="Emphasis">
    <w:name w:val="Emphasis"/>
    <w:basedOn w:val="DefaultParagraphFont"/>
    <w:uiPriority w:val="20"/>
    <w:qFormat/>
    <w:rsid w:val="00EC0F49"/>
    <w:rPr>
      <w:i/>
      <w:iCs/>
    </w:rPr>
  </w:style>
  <w:style w:type="character" w:customStyle="1" w:styleId="Heading1Char">
    <w:name w:val="Heading 1 Char"/>
    <w:basedOn w:val="DefaultParagraphFont"/>
    <w:link w:val="Heading1"/>
    <w:uiPriority w:val="9"/>
    <w:rsid w:val="00B368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68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68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3314">
      <w:bodyDiv w:val="1"/>
      <w:marLeft w:val="0"/>
      <w:marRight w:val="0"/>
      <w:marTop w:val="0"/>
      <w:marBottom w:val="0"/>
      <w:divBdr>
        <w:top w:val="none" w:sz="0" w:space="0" w:color="auto"/>
        <w:left w:val="none" w:sz="0" w:space="0" w:color="auto"/>
        <w:bottom w:val="none" w:sz="0" w:space="0" w:color="auto"/>
        <w:right w:val="none" w:sz="0" w:space="0" w:color="auto"/>
      </w:divBdr>
    </w:div>
    <w:div w:id="814755597">
      <w:bodyDiv w:val="1"/>
      <w:marLeft w:val="0"/>
      <w:marRight w:val="0"/>
      <w:marTop w:val="0"/>
      <w:marBottom w:val="0"/>
      <w:divBdr>
        <w:top w:val="none" w:sz="0" w:space="0" w:color="auto"/>
        <w:left w:val="none" w:sz="0" w:space="0" w:color="auto"/>
        <w:bottom w:val="none" w:sz="0" w:space="0" w:color="auto"/>
        <w:right w:val="none" w:sz="0" w:space="0" w:color="auto"/>
      </w:divBdr>
    </w:div>
    <w:div w:id="1177424973">
      <w:bodyDiv w:val="1"/>
      <w:marLeft w:val="0"/>
      <w:marRight w:val="0"/>
      <w:marTop w:val="0"/>
      <w:marBottom w:val="0"/>
      <w:divBdr>
        <w:top w:val="none" w:sz="0" w:space="0" w:color="auto"/>
        <w:left w:val="none" w:sz="0" w:space="0" w:color="auto"/>
        <w:bottom w:val="none" w:sz="0" w:space="0" w:color="auto"/>
        <w:right w:val="none" w:sz="0" w:space="0" w:color="auto"/>
      </w:divBdr>
    </w:div>
    <w:div w:id="1683237202">
      <w:bodyDiv w:val="1"/>
      <w:marLeft w:val="0"/>
      <w:marRight w:val="0"/>
      <w:marTop w:val="0"/>
      <w:marBottom w:val="0"/>
      <w:divBdr>
        <w:top w:val="none" w:sz="0" w:space="0" w:color="auto"/>
        <w:left w:val="none" w:sz="0" w:space="0" w:color="auto"/>
        <w:bottom w:val="none" w:sz="0" w:space="0" w:color="auto"/>
        <w:right w:val="none" w:sz="0" w:space="0" w:color="auto"/>
      </w:divBdr>
    </w:div>
    <w:div w:id="1927155486">
      <w:bodyDiv w:val="1"/>
      <w:marLeft w:val="0"/>
      <w:marRight w:val="0"/>
      <w:marTop w:val="0"/>
      <w:marBottom w:val="0"/>
      <w:divBdr>
        <w:top w:val="none" w:sz="0" w:space="0" w:color="auto"/>
        <w:left w:val="none" w:sz="0" w:space="0" w:color="auto"/>
        <w:bottom w:val="none" w:sz="0" w:space="0" w:color="auto"/>
        <w:right w:val="none" w:sz="0" w:space="0" w:color="auto"/>
      </w:divBdr>
    </w:div>
    <w:div w:id="2007243438">
      <w:bodyDiv w:val="1"/>
      <w:marLeft w:val="0"/>
      <w:marRight w:val="0"/>
      <w:marTop w:val="0"/>
      <w:marBottom w:val="0"/>
      <w:divBdr>
        <w:top w:val="none" w:sz="0" w:space="0" w:color="auto"/>
        <w:left w:val="none" w:sz="0" w:space="0" w:color="auto"/>
        <w:bottom w:val="none" w:sz="0" w:space="0" w:color="auto"/>
        <w:right w:val="none" w:sz="0" w:space="0" w:color="auto"/>
      </w:divBdr>
    </w:div>
    <w:div w:id="20987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hhs.tas.gov.au/publichealth/about_us/publications/epidemiology_publications" TargetMode="External"/><Relationship Id="rId2" Type="http://schemas.openxmlformats.org/officeDocument/2006/relationships/numbering" Target="numbering.xml"/><Relationship Id="rId16" Type="http://schemas.openxmlformats.org/officeDocument/2006/relationships/hyperlink" Target="http://www.liquorlicensing.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abs.gov.au/AUSSTATS/abs@.nsf/DetailsPage/4364.0.55.0012014-15?OpenDocument" TargetMode="External"/><Relationship Id="rId1" Type="http://schemas.openxmlformats.org/officeDocument/2006/relationships/hyperlink" Target="http://www.ndlerf.gov.au/pub/Monograph_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8E4B-B094-40BB-A8F8-854FD337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6231</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James Goderick</dc:creator>
  <cp:lastModifiedBy>Director Mental Health, Alcohol &amp; Drug Directorate</cp:lastModifiedBy>
  <cp:revision>5</cp:revision>
  <cp:lastPrinted>2019-11-25T03:45:00Z</cp:lastPrinted>
  <dcterms:created xsi:type="dcterms:W3CDTF">2019-11-25T03:44:00Z</dcterms:created>
  <dcterms:modified xsi:type="dcterms:W3CDTF">2019-12-19T01:03:00Z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TSNo1">
    <vt:lpwstr/>
  </property>
  <property fmtid="{D5CDD505-2E9C-101B-9397-08002B2CF9AE}" pid="3" name="Acronym1">
    <vt:lpwstr/>
  </property>
  <property fmtid="{D5CDD505-2E9C-101B-9397-08002B2CF9AE}" pid="4" name="SubjectBriefing1">
    <vt:lpwstr>Interagency Working Group on Drugs Annual Report 2016-2017</vt:lpwstr>
  </property>
  <property fmtid="{D5CDD505-2E9C-101B-9397-08002B2CF9AE}" pid="5" name="PreparedBy1">
    <vt:lpwstr>Sylvia Engels </vt:lpwstr>
  </property>
  <property fmtid="{D5CDD505-2E9C-101B-9397-08002B2CF9AE}" pid="6" name="PreparedPositionTitle1">
    <vt:lpwstr>Manager, Policy Development</vt:lpwstr>
  </property>
  <property fmtid="{D5CDD505-2E9C-101B-9397-08002B2CF9AE}" pid="7" name="PreparedPhone1">
    <vt:lpwstr>6166 0771</vt:lpwstr>
  </property>
  <property fmtid="{D5CDD505-2E9C-101B-9397-08002B2CF9AE}" pid="8" name="PreparedDate1">
    <vt:lpwstr>21 December 2017</vt:lpwstr>
  </property>
  <property fmtid="{D5CDD505-2E9C-101B-9397-08002B2CF9AE}" pid="9" name="Through1">
    <vt:lpwstr>Narelle Butt</vt:lpwstr>
  </property>
  <property fmtid="{D5CDD505-2E9C-101B-9397-08002B2CF9AE}" pid="10" name="ThroughPositionTitle1">
    <vt:lpwstr>General Manager, Mental Health Alcohol and Drug Directorate</vt:lpwstr>
  </property>
  <property fmtid="{D5CDD505-2E9C-101B-9397-08002B2CF9AE}" pid="11" name="ThroughDate1">
    <vt:lpwstr/>
  </property>
  <property fmtid="{D5CDD505-2E9C-101B-9397-08002B2CF9AE}" pid="12" name="ThroughPhone1">
    <vt:lpwstr>6166 0770</vt:lpwstr>
  </property>
  <property fmtid="{D5CDD505-2E9C-101B-9397-08002B2CF9AE}" pid="13" name="Through21">
    <vt:lpwstr>Jodi Willcox </vt:lpwstr>
  </property>
  <property fmtid="{D5CDD505-2E9C-101B-9397-08002B2CF9AE}" pid="14" name="Through2PositionTitle1">
    <vt:lpwstr>Director, Strategic Policy and Regulation</vt:lpwstr>
  </property>
  <property fmtid="{D5CDD505-2E9C-101B-9397-08002B2CF9AE}" pid="15" name="Through2Date1">
    <vt:lpwstr/>
  </property>
  <property fmtid="{D5CDD505-2E9C-101B-9397-08002B2CF9AE}" pid="16" name="Through2Phone1">
    <vt:lpwstr>6166 3689</vt:lpwstr>
  </property>
  <property fmtid="{D5CDD505-2E9C-101B-9397-08002B2CF9AE}" pid="17" name="ClearedBy1">
    <vt:lpwstr>Michael Reynolds</vt:lpwstr>
  </property>
  <property fmtid="{D5CDD505-2E9C-101B-9397-08002B2CF9AE}" pid="18" name="ClearedPositionTitle1">
    <vt:lpwstr>Acting Deputy Secretary, Corporate Policy and Regulatory Services</vt:lpwstr>
  </property>
  <property fmtid="{D5CDD505-2E9C-101B-9397-08002B2CF9AE}" pid="19" name="ClearedPhone1">
    <vt:lpwstr>6166 3808</vt:lpwstr>
  </property>
  <property fmtid="{D5CDD505-2E9C-101B-9397-08002B2CF9AE}" pid="20" name="ClearedDate1">
    <vt:lpwstr/>
  </property>
</Properties>
</file>