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D0A6" w14:textId="0B708413" w:rsidR="00A60E07" w:rsidRDefault="00A125A6" w:rsidP="00A60E07">
      <w:pPr>
        <w:pStyle w:val="Heading8"/>
        <w:spacing w:before="0" w:after="0"/>
      </w:pPr>
      <w:bookmarkStart w:id="0" w:name="_GoBack"/>
      <w:bookmarkEnd w:id="0"/>
      <w:r w:rsidRPr="00993ED6">
        <w:rPr>
          <w:noProof/>
        </w:rPr>
        <mc:AlternateContent>
          <mc:Choice Requires="wps">
            <w:drawing>
              <wp:anchor distT="0" distB="0" distL="114300" distR="114300" simplePos="0" relativeHeight="251659264" behindDoc="0" locked="0" layoutInCell="1" allowOverlap="1" wp14:anchorId="731B474C" wp14:editId="1130F5C6">
                <wp:simplePos x="0" y="0"/>
                <wp:positionH relativeFrom="column">
                  <wp:posOffset>-187985</wp:posOffset>
                </wp:positionH>
                <wp:positionV relativeFrom="paragraph">
                  <wp:posOffset>-1005256</wp:posOffset>
                </wp:positionV>
                <wp:extent cx="7252970" cy="1214323"/>
                <wp:effectExtent l="0" t="0" r="0"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121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757C" w14:textId="77777777" w:rsidR="00A60E07" w:rsidRPr="007946DA" w:rsidRDefault="00A60E07" w:rsidP="00A125A6">
                            <w:pPr>
                              <w:pStyle w:val="Heading1"/>
                            </w:pPr>
                            <w:r w:rsidRPr="007946DA">
                              <w:t>Tasmanian Drug Strategy 2021-2027</w:t>
                            </w:r>
                          </w:p>
                          <w:p w14:paraId="16CFD2AB" w14:textId="77777777" w:rsidR="00A60E07" w:rsidRPr="007946DA" w:rsidRDefault="00261BE2" w:rsidP="00A60E07">
                            <w:pPr>
                              <w:spacing w:before="240" w:after="120" w:line="240" w:lineRule="atLeast"/>
                              <w:ind w:left="-142" w:right="23"/>
                              <w:jc w:val="right"/>
                              <w:rPr>
                                <w:b/>
                                <w:bCs/>
                                <w:sz w:val="24"/>
                              </w:rPr>
                            </w:pPr>
                            <w:hyperlink r:id="rId7" w:history="1">
                              <w:r w:rsidR="00A60E07" w:rsidRPr="00FE3B8B">
                                <w:rPr>
                                  <w:rStyle w:val="Hyperlink"/>
                                  <w:b/>
                                  <w:bCs/>
                                  <w:szCs w:val="22"/>
                                </w:rPr>
                                <w:t>director.mhadd@health.tas.gov.au</w:t>
                              </w:r>
                            </w:hyperlink>
                          </w:p>
                          <w:p w14:paraId="3DD19B93" w14:textId="77777777" w:rsidR="00A60E07" w:rsidRPr="007946DA" w:rsidRDefault="00A60E07" w:rsidP="00A60E07">
                            <w:pPr>
                              <w:spacing w:after="120" w:line="240" w:lineRule="auto"/>
                              <w:ind w:right="23"/>
                              <w:jc w:val="right"/>
                              <w:rPr>
                                <w:b/>
                                <w:bCs/>
                              </w:rPr>
                            </w:pPr>
                            <w:r w:rsidRPr="007946DA">
                              <w:rPr>
                                <w:sz w:val="24"/>
                              </w:rPr>
                              <w:t xml:space="preserve"> </w:t>
                            </w:r>
                            <w:hyperlink r:id="rId8" w:history="1">
                              <w:r w:rsidRPr="007946DA">
                                <w:rPr>
                                  <w:rStyle w:val="Hyperlink"/>
                                  <w:b/>
                                  <w:bCs/>
                                </w:rPr>
                                <w:t>www.dhhs.tas.gov.au/drugstrategy</w:t>
                              </w:r>
                            </w:hyperlink>
                          </w:p>
                          <w:p w14:paraId="2D4A2BBF" w14:textId="77777777" w:rsidR="00A60E07" w:rsidRDefault="00A60E07" w:rsidP="00A60E07">
                            <w:pPr>
                              <w:pStyle w:val="Heading7"/>
                              <w:ind w:left="-1985" w:right="-1795"/>
                              <w:jc w:val="right"/>
                              <w:rPr>
                                <w:sz w:val="24"/>
                              </w:rPr>
                            </w:pPr>
                          </w:p>
                          <w:p w14:paraId="117D13F5" w14:textId="77777777" w:rsidR="00A60E07" w:rsidRPr="00026B89" w:rsidRDefault="00A60E07" w:rsidP="00A60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474C" id="_x0000_t202" coordsize="21600,21600" o:spt="202" path="m,l,21600r21600,l21600,xe">
                <v:stroke joinstyle="miter"/>
                <v:path gradientshapeok="t" o:connecttype="rect"/>
              </v:shapetype>
              <v:shape id="Text Box 26" o:spid="_x0000_s1026" type="#_x0000_t202" style="position:absolute;left:0;text-align:left;margin-left:-14.8pt;margin-top:-79.15pt;width:571.1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Dc8wEAAMgDAAAOAAAAZHJzL2Uyb0RvYy54bWysU9tu2zAMfR+wfxD0vjh202Y14hRdiw4D&#10;ugvQ7gMYWY6F2aJGKbGzrx8lp1m2vQ17EcSLDg8PqdXN2Hdir8kbtJXMZ3MptFVYG7ut5Nfnhzdv&#10;pfABbA0dWl3Jg/byZv361WpwpS6wxa7WJBjE+nJwlWxDcGWWedXqHvwMnbYcbJB6CGzSNqsJBkbv&#10;u6yYz6+yAal2hEp7z977KSjXCb9ptAqfm8brILpKMreQTkrnJp7ZegXllsC1Rh1pwD+w6MFYLnqC&#10;uocAYkfmL6jeKEKPTZgp7DNsGqN06oG7yed/dPPUgtOpFxbHu5NM/v/Bqk/7LyRMzbOTwkLPI3rW&#10;YxDvcBTFVZRncL7krCfHeWFkf0yNrXr3iOqbFxbvWrBbfUuEQ6uhZnp5fJmdPZ1wfATZDB+x5jqw&#10;C5iAxob6CMhqCEbnMR1Oo4lcFDuXxWVxveSQ4lhe5IuL4iLVgPLluSMf3mvsRbxUknj2CR72jz5E&#10;OlC+pMRqFh9M16X5d/Y3BydGT6IfGU/cw7gZj3JssD5wI4TTOvH686VF+iHFwKtUSf99B6Sl6D5Y&#10;FuM6Xyzi7iVjcbks2KDzyOY8AlYxVCWDFNP1Lkz7unNkti1XmuS3eMsCNia1FpWeWB1587qkjo+r&#10;Hffx3E5Zvz7g+icAAAD//wMAUEsDBBQABgAIAAAAIQA3cPKY4AAAAAwBAAAPAAAAZHJzL2Rvd25y&#10;ZXYueG1sTI/LTsMwEEX3SPyDNUjsWjsprZo0ToVAbEGUh9SdG0+TiHgcxW4T/p7piu7mcXTnTLGd&#10;XCfOOITWk4ZkrkAgVd62VGv4/HiZrUGEaMiazhNq+MUA2/L2pjC59SO943kXa8EhFHKjoYmxz6UM&#10;VYPOhLnvkXh39IMzkduhlnYwI4e7TqZKraQzLfGFxvT41GD1szs5DV+vx/33g3qrn92yH/2kJLlM&#10;an1/Nz1uQESc4j8MF31Wh5KdDv5ENohOwyzNVoxykSzXCxAXJElSnh00LNIMZFnI6yfKPwAAAP//&#10;AwBQSwECLQAUAAYACAAAACEAtoM4kv4AAADhAQAAEwAAAAAAAAAAAAAAAAAAAAAAW0NvbnRlbnRf&#10;VHlwZXNdLnhtbFBLAQItABQABgAIAAAAIQA4/SH/1gAAAJQBAAALAAAAAAAAAAAAAAAAAC8BAABf&#10;cmVscy8ucmVsc1BLAQItABQABgAIAAAAIQDMvPDc8wEAAMgDAAAOAAAAAAAAAAAAAAAAAC4CAABk&#10;cnMvZTJvRG9jLnhtbFBLAQItABQABgAIAAAAIQA3cPKY4AAAAAwBAAAPAAAAAAAAAAAAAAAAAE0E&#10;AABkcnMvZG93bnJldi54bWxQSwUGAAAAAAQABADzAAAAWgUAAAAA&#10;" filled="f" stroked="f">
                <v:textbox>
                  <w:txbxContent>
                    <w:p w14:paraId="2048757C" w14:textId="77777777" w:rsidR="00A60E07" w:rsidRPr="007946DA" w:rsidRDefault="00A60E07" w:rsidP="00A125A6">
                      <w:pPr>
                        <w:pStyle w:val="Heading1"/>
                      </w:pPr>
                      <w:r w:rsidRPr="007946DA">
                        <w:t>Tasmanian Drug Strategy 2021-2027</w:t>
                      </w:r>
                    </w:p>
                    <w:p w14:paraId="16CFD2AB" w14:textId="77777777" w:rsidR="00A60E07" w:rsidRPr="007946DA" w:rsidRDefault="00261BE2" w:rsidP="00A60E07">
                      <w:pPr>
                        <w:spacing w:before="240" w:after="120" w:line="240" w:lineRule="atLeast"/>
                        <w:ind w:left="-142" w:right="23"/>
                        <w:jc w:val="right"/>
                        <w:rPr>
                          <w:b/>
                          <w:bCs/>
                          <w:sz w:val="24"/>
                        </w:rPr>
                      </w:pPr>
                      <w:hyperlink r:id="rId9" w:history="1">
                        <w:r w:rsidR="00A60E07" w:rsidRPr="00FE3B8B">
                          <w:rPr>
                            <w:rStyle w:val="Hyperlink"/>
                            <w:b/>
                            <w:bCs/>
                            <w:szCs w:val="22"/>
                          </w:rPr>
                          <w:t>director.mhadd@health.tas.gov.au</w:t>
                        </w:r>
                      </w:hyperlink>
                    </w:p>
                    <w:p w14:paraId="3DD19B93" w14:textId="77777777" w:rsidR="00A60E07" w:rsidRPr="007946DA" w:rsidRDefault="00A60E07" w:rsidP="00A60E07">
                      <w:pPr>
                        <w:spacing w:after="120" w:line="240" w:lineRule="auto"/>
                        <w:ind w:right="23"/>
                        <w:jc w:val="right"/>
                        <w:rPr>
                          <w:b/>
                          <w:bCs/>
                        </w:rPr>
                      </w:pPr>
                      <w:r w:rsidRPr="007946DA">
                        <w:rPr>
                          <w:sz w:val="24"/>
                        </w:rPr>
                        <w:t xml:space="preserve"> </w:t>
                      </w:r>
                      <w:hyperlink r:id="rId10" w:history="1">
                        <w:r w:rsidRPr="007946DA">
                          <w:rPr>
                            <w:rStyle w:val="Hyperlink"/>
                            <w:b/>
                            <w:bCs/>
                          </w:rPr>
                          <w:t>www.dhhs.tas.gov.au/drugstrategy</w:t>
                        </w:r>
                      </w:hyperlink>
                    </w:p>
                    <w:p w14:paraId="2D4A2BBF" w14:textId="77777777" w:rsidR="00A60E07" w:rsidRDefault="00A60E07" w:rsidP="00A60E07">
                      <w:pPr>
                        <w:pStyle w:val="Heading7"/>
                        <w:ind w:left="-1985" w:right="-1795"/>
                        <w:jc w:val="right"/>
                        <w:rPr>
                          <w:sz w:val="24"/>
                        </w:rPr>
                      </w:pPr>
                    </w:p>
                    <w:p w14:paraId="117D13F5" w14:textId="77777777" w:rsidR="00A60E07" w:rsidRPr="00026B89" w:rsidRDefault="00A60E07" w:rsidP="00A60E07"/>
                  </w:txbxContent>
                </v:textbox>
              </v:shape>
            </w:pict>
          </mc:Fallback>
        </mc:AlternateContent>
      </w:r>
      <w:r w:rsidR="00A60E07" w:rsidRPr="00993ED6">
        <w:rPr>
          <w:noProof/>
        </w:rPr>
        <mc:AlternateContent>
          <mc:Choice Requires="wps">
            <w:drawing>
              <wp:anchor distT="0" distB="0" distL="114300" distR="114300" simplePos="0" relativeHeight="251660288" behindDoc="0" locked="0" layoutInCell="1" allowOverlap="1" wp14:anchorId="16BFD4DD" wp14:editId="74BA38B5">
                <wp:simplePos x="0" y="0"/>
                <wp:positionH relativeFrom="margin">
                  <wp:posOffset>368160</wp:posOffset>
                </wp:positionH>
                <wp:positionV relativeFrom="paragraph">
                  <wp:posOffset>-1522260</wp:posOffset>
                </wp:positionV>
                <wp:extent cx="5979226" cy="617517"/>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226" cy="61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E633" w14:textId="77777777" w:rsidR="00A60E07" w:rsidRPr="00540D1D" w:rsidRDefault="00A60E07" w:rsidP="00A60E07">
                            <w:pPr>
                              <w:pStyle w:val="Heading5"/>
                              <w:jc w:val="center"/>
                              <w:rPr>
                                <w:b w:val="0"/>
                                <w:bCs/>
                                <w:color w:val="FFFFFF" w:themeColor="background1"/>
                                <w:szCs w:val="28"/>
                                <w:lang w:val="en-AU"/>
                              </w:rPr>
                            </w:pPr>
                            <w:r>
                              <w:rPr>
                                <w:lang w:val="en-AU"/>
                              </w:rPr>
                              <w:t>Mental Health, Alcohol and Drug Directorate on behalf</w:t>
                            </w:r>
                            <w:r>
                              <w:rPr>
                                <w:lang w:val="en-AU"/>
                              </w:rPr>
                              <w:br/>
                              <w:t xml:space="preserve"> of the </w:t>
                            </w:r>
                            <w:r>
                              <w:rPr>
                                <w:bCs/>
                                <w:color w:val="FFFFFF" w:themeColor="background1"/>
                                <w:szCs w:val="28"/>
                                <w:lang w:val="en-AU"/>
                              </w:rPr>
                              <w:t xml:space="preserve">Tasmanian </w:t>
                            </w:r>
                            <w:r w:rsidRPr="00540D1D">
                              <w:rPr>
                                <w:bCs/>
                                <w:color w:val="FFFFFF" w:themeColor="background1"/>
                                <w:szCs w:val="28"/>
                                <w:lang w:val="en-AU"/>
                              </w:rPr>
                              <w:t>Interagency Drug Policy Committee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FD4DD" id="Text Box 27" o:spid="_x0000_s1027" type="#_x0000_t202" style="position:absolute;left:0;text-align:left;margin-left:29pt;margin-top:-119.85pt;width:470.8pt;height:4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gq9gEAAMoDAAAOAAAAZHJzL2Uyb0RvYy54bWysU9tu2zAMfR+wfxD0vjg2clmMOEXXosOA&#10;bh3Q7gNkWbaF2aJGKbGzrx8lp2m2vhV7EcSLDs8hqe3V2HfsoNBpMAVPZ3POlJFQadMU/MfT3YeP&#10;nDkvTCU6MKrgR+X41e79u+1gc5VBC12lkBGIcflgC956b/MkcbJVvXAzsMpQsAbshScTm6RCMRB6&#10;3yXZfL5KBsDKIkjlHHlvpyDfRfy6VtI/1LVTnnUFJ24+nhjPMpzJbivyBoVttTzREG9g0QttqOgZ&#10;6lZ4wfaoX0H1WiI4qP1MQp9AXWupogZSk87/UfPYCquiFmqOs+c2uf8HK78dviPTVcEzzozoaURP&#10;avTsE4wsW4f2DNbllPVoKc+P5KcxR6nO3oP86ZiBm1aYRl0jwtAqURG9NLxMLp5OOC6AlMNXqKiO&#10;2HuIQGONfegddYMROo3peB5N4CLJudysN1m24kxSbJWul2kkl4j8+bVF5z8r6Fm4FBxp9BFdHO6d&#10;D2xE/pwSihm4010Xx9+ZvxyUGDyRfSA8UfdjOcY+RWlBWQnVkeQgTEtFn4AuLeBvzgZaqIK7X3uB&#10;irPui6GWhO2Ll8VynZGB0dikiwUZ5WVEGEkwBfecTdcbP23s3qJuWqoyDcDANbWw1lHdC6MTdVqY&#10;KPq03GEjL+2Y9fIFd38AAAD//wMAUEsDBBQABgAIAAAAIQBPM/rw4wAAAAwBAAAPAAAAZHJzL2Rv&#10;d25yZXYueG1sTI/NTsMwEITvSLyDtUjcWqcp/XEap0JIPVBUBG0fwImXOCJeh9htwttjTnCcndHs&#10;N/l2tC27Yu8bRxJm0wQYUuV0Q7WE82k3WQPzQZFWrSOU8I0etsXtTa4y7QZ6x+sx1CyWkM+UBBNC&#10;l3HuK4NW+anrkKL34XqrQpR9zXWvhlhuW54myZJb1VD8YFSHTwarz+PFSjjsXl+exbg/larZD+7r&#10;bX42A0l5fzc+boAFHMNfGH7xIzoUkal0F9KetRIW6zglSJikc7ECFhNCiCWwMp5mD+kCeJHz/yOK&#10;HwAAAP//AwBQSwECLQAUAAYACAAAACEAtoM4kv4AAADhAQAAEwAAAAAAAAAAAAAAAAAAAAAAW0Nv&#10;bnRlbnRfVHlwZXNdLnhtbFBLAQItABQABgAIAAAAIQA4/SH/1gAAAJQBAAALAAAAAAAAAAAAAAAA&#10;AC8BAABfcmVscy8ucmVsc1BLAQItABQABgAIAAAAIQBag5gq9gEAAMoDAAAOAAAAAAAAAAAAAAAA&#10;AC4CAABkcnMvZTJvRG9jLnhtbFBLAQItABQABgAIAAAAIQBPM/rw4wAAAAwBAAAPAAAAAAAAAAAA&#10;AAAAAFAEAABkcnMvZG93bnJldi54bWxQSwUGAAAAAAQABADzAAAAYAUAAAAA&#10;" filled="f" stroked="f">
                <v:textbox inset="0">
                  <w:txbxContent>
                    <w:p w14:paraId="0BADE633" w14:textId="77777777" w:rsidR="00A60E07" w:rsidRPr="00540D1D" w:rsidRDefault="00A60E07" w:rsidP="00A60E07">
                      <w:pPr>
                        <w:pStyle w:val="Heading5"/>
                        <w:jc w:val="center"/>
                        <w:rPr>
                          <w:b w:val="0"/>
                          <w:bCs/>
                          <w:color w:val="FFFFFF" w:themeColor="background1"/>
                          <w:szCs w:val="28"/>
                          <w:lang w:val="en-AU"/>
                        </w:rPr>
                      </w:pPr>
                      <w:r>
                        <w:rPr>
                          <w:lang w:val="en-AU"/>
                        </w:rPr>
                        <w:t>Mental Health, Alcohol and Drug Directorate on behalf</w:t>
                      </w:r>
                      <w:r>
                        <w:rPr>
                          <w:lang w:val="en-AU"/>
                        </w:rPr>
                        <w:br/>
                        <w:t xml:space="preserve"> of the </w:t>
                      </w:r>
                      <w:r>
                        <w:rPr>
                          <w:bCs/>
                          <w:color w:val="FFFFFF" w:themeColor="background1"/>
                          <w:szCs w:val="28"/>
                          <w:lang w:val="en-AU"/>
                        </w:rPr>
                        <w:t xml:space="preserve">Tasmanian </w:t>
                      </w:r>
                      <w:r w:rsidRPr="00540D1D">
                        <w:rPr>
                          <w:bCs/>
                          <w:color w:val="FFFFFF" w:themeColor="background1"/>
                          <w:szCs w:val="28"/>
                          <w:lang w:val="en-AU"/>
                        </w:rPr>
                        <w:t>Interagency Drug Policy Committee</w:t>
                      </w:r>
                    </w:p>
                  </w:txbxContent>
                </v:textbox>
                <w10:wrap anchorx="margin"/>
              </v:shape>
            </w:pict>
          </mc:Fallback>
        </mc:AlternateContent>
      </w:r>
    </w:p>
    <w:p w14:paraId="5C5C292D" w14:textId="77777777" w:rsidR="00A60E07" w:rsidRDefault="00A60E07" w:rsidP="00A125A6">
      <w:pPr>
        <w:pStyle w:val="Heading2"/>
        <w:ind w:left="284"/>
      </w:pPr>
      <w:r>
        <w:t>The connection between the Tasmanian Drug Strategy and the Reform Agenda for the alcohol and other drugs sector in Tasmania</w:t>
      </w:r>
    </w:p>
    <w:p w14:paraId="56A47804" w14:textId="77777777" w:rsidR="00A60E07" w:rsidRDefault="00A60E07" w:rsidP="00A60E07">
      <w:pPr>
        <w:ind w:left="284" w:right="453"/>
        <w:jc w:val="left"/>
        <w:sectPr w:rsidR="00A60E07" w:rsidSect="00026B89">
          <w:headerReference w:type="first" r:id="rId11"/>
          <w:footerReference w:type="first" r:id="rId12"/>
          <w:pgSz w:w="11906" w:h="16838" w:code="9"/>
          <w:pgMar w:top="2977" w:right="686" w:bottom="2268" w:left="561" w:header="709" w:footer="0" w:gutter="0"/>
          <w:cols w:space="708"/>
          <w:titlePg/>
          <w:docGrid w:linePitch="360"/>
        </w:sectPr>
      </w:pPr>
    </w:p>
    <w:p w14:paraId="7E9D1508" w14:textId="77777777" w:rsidR="00A60E07" w:rsidRDefault="00A60E07" w:rsidP="00A60E07">
      <w:pPr>
        <w:tabs>
          <w:tab w:val="left" w:pos="4395"/>
        </w:tabs>
        <w:ind w:right="453"/>
        <w:jc w:val="left"/>
      </w:pPr>
      <w:r>
        <w:t>The TDS is a whole-of-government and whole-of-community strategic framework that aims to prevent and reduce the health, economic and social costs and harmful effects of ATOD use in Tasmania.</w:t>
      </w:r>
    </w:p>
    <w:p w14:paraId="6B3CBD1A" w14:textId="77777777" w:rsidR="00A60E07" w:rsidRDefault="00A60E07" w:rsidP="00A60E07">
      <w:pPr>
        <w:tabs>
          <w:tab w:val="left" w:pos="4395"/>
        </w:tabs>
        <w:ind w:right="453"/>
        <w:jc w:val="left"/>
      </w:pPr>
      <w:r>
        <w:t>Its purpose is to provide the higher-level whole-of-government and whole-of-community strategic framework to guide collaborative action and activities across multiple agencies and organisations.</w:t>
      </w:r>
    </w:p>
    <w:p w14:paraId="142F8F8D" w14:textId="77777777" w:rsidR="00A60E07" w:rsidRDefault="00A60E07" w:rsidP="00A60E07">
      <w:pPr>
        <w:tabs>
          <w:tab w:val="left" w:pos="4395"/>
        </w:tabs>
        <w:ind w:right="453"/>
        <w:jc w:val="left"/>
      </w:pPr>
      <w:r>
        <w:t xml:space="preserve">It also provides a guide for other agencies and organisations to use to consider the impacts of ATOD use and harm in their strategic policy responses. </w:t>
      </w:r>
    </w:p>
    <w:p w14:paraId="7FA2C67F" w14:textId="77777777" w:rsidR="00A60E07" w:rsidRDefault="00A60E07" w:rsidP="00A60E07">
      <w:pPr>
        <w:tabs>
          <w:tab w:val="left" w:pos="4395"/>
        </w:tabs>
        <w:ind w:right="453"/>
        <w:jc w:val="left"/>
      </w:pPr>
      <w:r>
        <w:t xml:space="preserve">The Reform Agenda, available </w:t>
      </w:r>
      <w:hyperlink r:id="rId13" w:history="1">
        <w:r w:rsidRPr="00B3418F">
          <w:rPr>
            <w:rStyle w:val="Hyperlink"/>
          </w:rPr>
          <w:t>here</w:t>
        </w:r>
      </w:hyperlink>
      <w:r>
        <w:rPr>
          <w:rStyle w:val="Hyperlink"/>
        </w:rPr>
        <w:t>,</w:t>
      </w:r>
      <w:r w:rsidRPr="002B69C0">
        <w:rPr>
          <w:color w:val="00B0F0"/>
        </w:rPr>
        <w:t xml:space="preserve"> </w:t>
      </w:r>
      <w:r>
        <w:t xml:space="preserve">is specific to consumers/clients of the ATOD treatment sector in Tasmania and providers such as government, non-government or primary healthcare providers. </w:t>
      </w:r>
    </w:p>
    <w:p w14:paraId="22A5F1C5" w14:textId="77777777" w:rsidR="00A60E07" w:rsidRDefault="00A60E07" w:rsidP="00A60E07">
      <w:pPr>
        <w:tabs>
          <w:tab w:val="left" w:pos="4395"/>
        </w:tabs>
        <w:ind w:right="453"/>
        <w:jc w:val="left"/>
      </w:pPr>
      <w:r>
        <w:t>The aim of the Reform Agenda is to ensure Tasmanians affected by ATOD use have access to appropriate, timely, effective and quality ATOD services, supports and treatments.</w:t>
      </w:r>
    </w:p>
    <w:p w14:paraId="5338E151" w14:textId="77777777" w:rsidR="00A60E07" w:rsidRDefault="00A60E07" w:rsidP="00A60E07">
      <w:pPr>
        <w:tabs>
          <w:tab w:val="left" w:pos="4395"/>
        </w:tabs>
        <w:ind w:right="453"/>
        <w:jc w:val="left"/>
      </w:pPr>
      <w:r>
        <w:t xml:space="preserve">The TDS will have a high-level focus on actions and activities that prevent and reduce the risks and harms associated with ATOD use through whole-of-government, whole-of-community, multi-agency, community sector and individual collaboration and coordinated approaches. </w:t>
      </w:r>
    </w:p>
    <w:p w14:paraId="4828B698" w14:textId="77777777" w:rsidR="00A60E07" w:rsidRDefault="00A60E07" w:rsidP="00A60E07">
      <w:pPr>
        <w:tabs>
          <w:tab w:val="left" w:pos="4395"/>
        </w:tabs>
        <w:ind w:right="13"/>
        <w:jc w:val="left"/>
      </w:pPr>
      <w:r>
        <w:t xml:space="preserve">It will use a health-in-all-policies approach that acknowledges that individual health and wellbeing and </w:t>
      </w:r>
      <w:r>
        <w:t xml:space="preserve">the choices individuals make are also influenced by factors outside individuals’ control and that behaviours don’t occur in isolation.  </w:t>
      </w:r>
    </w:p>
    <w:p w14:paraId="5CF1BAB6" w14:textId="77777777" w:rsidR="00A60E07" w:rsidRDefault="00A60E07" w:rsidP="00A60E07">
      <w:pPr>
        <w:tabs>
          <w:tab w:val="left" w:pos="4395"/>
        </w:tabs>
        <w:ind w:right="13"/>
        <w:jc w:val="left"/>
      </w:pPr>
      <w:r>
        <w:t>Recognising the importance of the ongoing provision of treatment, the TDS will include an action area specifically for intervention and treatment. Implementation of the Reform Agenda will be the key activity.</w:t>
      </w:r>
    </w:p>
    <w:p w14:paraId="4094BB9F" w14:textId="77777777" w:rsidR="00A60E07" w:rsidRPr="00E86BBD" w:rsidRDefault="00A60E07" w:rsidP="00A125A6">
      <w:pPr>
        <w:pStyle w:val="Heading3"/>
      </w:pPr>
      <w:r w:rsidRPr="00E86BBD">
        <w:t>Links between the TDS and Reform Agenda</w:t>
      </w:r>
    </w:p>
    <w:p w14:paraId="24EEA4FF" w14:textId="77777777" w:rsidR="00A60E07" w:rsidRDefault="00A60E07" w:rsidP="00A60E07">
      <w:pPr>
        <w:tabs>
          <w:tab w:val="left" w:pos="4395"/>
        </w:tabs>
        <w:ind w:right="13"/>
        <w:jc w:val="left"/>
      </w:pPr>
      <w:r>
        <w:t xml:space="preserve">The many connections between the TDS and the Reform Agenda include:  </w:t>
      </w:r>
    </w:p>
    <w:p w14:paraId="723C8321" w14:textId="77777777" w:rsidR="00A60E07" w:rsidRPr="00EF04AE" w:rsidRDefault="00A60E07" w:rsidP="00A60E07">
      <w:pPr>
        <w:pStyle w:val="ListParagraph"/>
        <w:numPr>
          <w:ilvl w:val="0"/>
          <w:numId w:val="1"/>
        </w:numPr>
        <w:tabs>
          <w:tab w:val="left" w:pos="4395"/>
        </w:tabs>
        <w:ind w:left="567" w:right="13" w:hanging="567"/>
        <w:contextualSpacing w:val="0"/>
        <w:rPr>
          <w:rFonts w:ascii="Gill Sans MT" w:hAnsi="Gill Sans MT"/>
        </w:rPr>
      </w:pPr>
      <w:r w:rsidRPr="00EF04AE">
        <w:rPr>
          <w:rFonts w:ascii="Gill Sans MT" w:hAnsi="Gill Sans MT"/>
        </w:rPr>
        <w:t>Both recognise the National Drug Strategy 2017-2026 (NDS) and the three pillars of supply, demand and harm reduction as the overarching strategic policy.</w:t>
      </w:r>
    </w:p>
    <w:p w14:paraId="167F878C" w14:textId="77777777" w:rsidR="00A60E07" w:rsidRPr="00EF04AE" w:rsidRDefault="00A60E07" w:rsidP="00A60E07">
      <w:pPr>
        <w:pStyle w:val="ListParagraph"/>
        <w:numPr>
          <w:ilvl w:val="0"/>
          <w:numId w:val="1"/>
        </w:numPr>
        <w:tabs>
          <w:tab w:val="left" w:pos="4395"/>
        </w:tabs>
        <w:ind w:left="567" w:right="13" w:hanging="567"/>
        <w:contextualSpacing w:val="0"/>
        <w:rPr>
          <w:rFonts w:ascii="Gill Sans MT" w:hAnsi="Gill Sans MT"/>
        </w:rPr>
      </w:pPr>
      <w:r w:rsidRPr="00EF04AE">
        <w:rPr>
          <w:rFonts w:ascii="Gill Sans MT" w:hAnsi="Gill Sans MT"/>
        </w:rPr>
        <w:t>Both recognise the same specific population groups at higher risk. The Reform Agenda has a specific reform direction to ensure those groups can access appropriate treatment and support</w:t>
      </w:r>
      <w:r>
        <w:rPr>
          <w:rFonts w:ascii="Gill Sans MT" w:hAnsi="Gill Sans MT"/>
        </w:rPr>
        <w:t>, where and when they need it</w:t>
      </w:r>
      <w:r w:rsidRPr="00EF04AE">
        <w:rPr>
          <w:rFonts w:ascii="Gill Sans MT" w:hAnsi="Gill Sans MT"/>
        </w:rPr>
        <w:t>.</w:t>
      </w:r>
    </w:p>
    <w:p w14:paraId="357FB165" w14:textId="77777777" w:rsidR="00A60E07" w:rsidRPr="00EF04AE" w:rsidRDefault="00A60E07" w:rsidP="00A60E07">
      <w:pPr>
        <w:pStyle w:val="ListParagraph"/>
        <w:numPr>
          <w:ilvl w:val="0"/>
          <w:numId w:val="1"/>
        </w:numPr>
        <w:tabs>
          <w:tab w:val="left" w:pos="4395"/>
        </w:tabs>
        <w:ind w:left="567" w:right="13" w:hanging="567"/>
        <w:contextualSpacing w:val="0"/>
        <w:rPr>
          <w:rFonts w:ascii="Gill Sans MT" w:hAnsi="Gill Sans MT"/>
        </w:rPr>
      </w:pPr>
      <w:r w:rsidRPr="00EF04AE">
        <w:rPr>
          <w:rFonts w:ascii="Gill Sans MT" w:hAnsi="Gill Sans MT"/>
        </w:rPr>
        <w:t>The TDS includes a commitment to listen</w:t>
      </w:r>
      <w:r>
        <w:rPr>
          <w:rFonts w:ascii="Gill Sans MT" w:hAnsi="Gill Sans MT"/>
        </w:rPr>
        <w:t>ing</w:t>
      </w:r>
      <w:r w:rsidRPr="00EF04AE">
        <w:rPr>
          <w:rFonts w:ascii="Gill Sans MT" w:hAnsi="Gill Sans MT"/>
        </w:rPr>
        <w:t xml:space="preserve"> to people directly affected by ATOD use and harms. The Reform Agenda includes a client/consumer-centred approach across the service system as reform </w:t>
      </w:r>
      <w:r>
        <w:rPr>
          <w:rFonts w:ascii="Gill Sans MT" w:hAnsi="Gill Sans MT"/>
        </w:rPr>
        <w:t>d</w:t>
      </w:r>
      <w:r w:rsidRPr="00EF04AE">
        <w:rPr>
          <w:rFonts w:ascii="Gill Sans MT" w:hAnsi="Gill Sans MT"/>
        </w:rPr>
        <w:t>irection 1.</w:t>
      </w:r>
    </w:p>
    <w:p w14:paraId="7EC5379E" w14:textId="77777777" w:rsidR="00A60E07" w:rsidRDefault="00A60E07" w:rsidP="00A60E07">
      <w:pPr>
        <w:pStyle w:val="ListParagraph"/>
        <w:numPr>
          <w:ilvl w:val="0"/>
          <w:numId w:val="1"/>
        </w:numPr>
        <w:tabs>
          <w:tab w:val="left" w:pos="4395"/>
        </w:tabs>
        <w:ind w:left="567" w:right="13" w:hanging="567"/>
        <w:contextualSpacing w:val="0"/>
        <w:rPr>
          <w:rFonts w:ascii="Gill Sans MT" w:hAnsi="Gill Sans MT"/>
        </w:rPr>
      </w:pPr>
      <w:r w:rsidRPr="00EF04AE">
        <w:rPr>
          <w:rFonts w:ascii="Gill Sans MT" w:hAnsi="Gill Sans MT"/>
        </w:rPr>
        <w:t xml:space="preserve">Both recognise the social determinants of health and the many social, socio-economic, cultural and environmental conditions that play a significant factor in individual ATOD use and recovery. The TDS has a much greater focus </w:t>
      </w:r>
      <w:r w:rsidRPr="00EF04AE">
        <w:rPr>
          <w:rFonts w:ascii="Gill Sans MT" w:hAnsi="Gill Sans MT"/>
        </w:rPr>
        <w:lastRenderedPageBreak/>
        <w:t>on</w:t>
      </w:r>
      <w:r>
        <w:rPr>
          <w:rFonts w:ascii="Gill Sans MT" w:hAnsi="Gill Sans MT"/>
        </w:rPr>
        <w:t xml:space="preserve"> </w:t>
      </w:r>
      <w:r w:rsidRPr="00EF04AE">
        <w:rPr>
          <w:rFonts w:ascii="Gill Sans MT" w:hAnsi="Gill Sans MT"/>
        </w:rPr>
        <w:t>addressing those</w:t>
      </w:r>
      <w:r>
        <w:rPr>
          <w:rFonts w:ascii="Gill Sans MT" w:hAnsi="Gill Sans MT"/>
        </w:rPr>
        <w:t xml:space="preserve"> at a whole-of-government level</w:t>
      </w:r>
      <w:r w:rsidRPr="00EF04AE">
        <w:rPr>
          <w:rFonts w:ascii="Gill Sans MT" w:hAnsi="Gill Sans MT"/>
        </w:rPr>
        <w:t>, whil</w:t>
      </w:r>
      <w:r>
        <w:rPr>
          <w:rFonts w:ascii="Gill Sans MT" w:hAnsi="Gill Sans MT"/>
        </w:rPr>
        <w:t>e</w:t>
      </w:r>
      <w:r w:rsidRPr="00EF04AE">
        <w:rPr>
          <w:rFonts w:ascii="Gill Sans MT" w:hAnsi="Gill Sans MT"/>
        </w:rPr>
        <w:t xml:space="preserve"> the Reform Agenda acknowledges the importance </w:t>
      </w:r>
      <w:r>
        <w:rPr>
          <w:rFonts w:ascii="Gill Sans MT" w:hAnsi="Gill Sans MT"/>
        </w:rPr>
        <w:t xml:space="preserve">of the need to also </w:t>
      </w:r>
      <w:r w:rsidRPr="00EF04AE">
        <w:rPr>
          <w:rFonts w:ascii="Gill Sans MT" w:hAnsi="Gill Sans MT"/>
        </w:rPr>
        <w:t>address those as part of treatment.</w:t>
      </w:r>
    </w:p>
    <w:p w14:paraId="6EF3B6FC" w14:textId="77777777" w:rsidR="00A60E07" w:rsidRDefault="00A60E07" w:rsidP="00A60E07">
      <w:pPr>
        <w:pStyle w:val="ListParagraph"/>
        <w:numPr>
          <w:ilvl w:val="0"/>
          <w:numId w:val="1"/>
        </w:numPr>
        <w:ind w:left="567" w:right="453" w:hanging="567"/>
        <w:contextualSpacing w:val="0"/>
        <w:rPr>
          <w:rFonts w:ascii="Gill Sans MT" w:hAnsi="Gill Sans MT"/>
        </w:rPr>
      </w:pPr>
      <w:r>
        <w:rPr>
          <w:rFonts w:ascii="Gill Sans MT" w:hAnsi="Gill Sans MT"/>
        </w:rPr>
        <w:t>Both acknowledge the importance of promotion and prevention, with both including an activity to redevelop the ATOD Promotion, Prevention and Early Intervention Strategic Framework and Implementation Plan.</w:t>
      </w:r>
    </w:p>
    <w:p w14:paraId="5B722035" w14:textId="77777777" w:rsidR="00D22073" w:rsidRDefault="00261BE2"/>
    <w:sectPr w:rsidR="00D22073" w:rsidSect="00F84359">
      <w:type w:val="continuous"/>
      <w:pgSz w:w="11906" w:h="16838" w:code="9"/>
      <w:pgMar w:top="1135" w:right="686" w:bottom="1985" w:left="851" w:header="709" w:footer="782"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F6E8" w14:textId="77777777" w:rsidR="00261BE2" w:rsidRDefault="00261BE2">
      <w:pPr>
        <w:spacing w:after="0" w:line="240" w:lineRule="auto"/>
      </w:pPr>
      <w:r>
        <w:separator/>
      </w:r>
    </w:p>
  </w:endnote>
  <w:endnote w:type="continuationSeparator" w:id="0">
    <w:p w14:paraId="747A02EE" w14:textId="77777777" w:rsidR="00261BE2" w:rsidRDefault="0026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8619" w14:textId="77777777" w:rsidR="00B104BB" w:rsidRDefault="00A60E07">
    <w:pPr>
      <w:pStyle w:val="Footer"/>
    </w:pPr>
    <w:r>
      <w:rPr>
        <w:noProof/>
      </w:rPr>
      <w:drawing>
        <wp:inline distT="0" distB="0" distL="0" distR="0" wp14:anchorId="0EBD8518" wp14:editId="17A7A224">
          <wp:extent cx="6768465" cy="1714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768465" cy="171450"/>
                  </a:xfrm>
                  <a:prstGeom prst="rect">
                    <a:avLst/>
                  </a:prstGeom>
                  <a:noFill/>
                </pic:spPr>
              </pic:pic>
            </a:graphicData>
          </a:graphic>
        </wp:inline>
      </w:drawing>
    </w:r>
  </w:p>
  <w:p w14:paraId="0C773DA2" w14:textId="77777777" w:rsidR="00B104BB" w:rsidRDefault="00A60E07" w:rsidP="00B104BB">
    <w:pPr>
      <w:jc w:val="right"/>
      <w:rPr>
        <w:b/>
        <w:color w:val="595959" w:themeColor="text1" w:themeTint="A6"/>
        <w:sz w:val="28"/>
        <w:szCs w:val="28"/>
      </w:rPr>
    </w:pPr>
    <w:r w:rsidRPr="002254AA">
      <w:rPr>
        <w:color w:val="595959" w:themeColor="text1" w:themeTint="A6"/>
        <w:sz w:val="28"/>
        <w:szCs w:val="28"/>
      </w:rPr>
      <w:t>Department of Healt</w:t>
    </w:r>
    <w:r>
      <w:rPr>
        <w:color w:val="595959" w:themeColor="text1" w:themeTint="A6"/>
        <w:sz w:val="28"/>
        <w:szCs w:val="28"/>
      </w:rPr>
      <w:t>h</w:t>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noProof/>
      </w:rPr>
      <w:drawing>
        <wp:inline distT="0" distB="0" distL="0" distR="0" wp14:anchorId="1504104E" wp14:editId="57F22FEA">
          <wp:extent cx="655955" cy="6572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085" cy="708454"/>
                  </a:xfrm>
                  <a:prstGeom prst="rect">
                    <a:avLst/>
                  </a:prstGeom>
                  <a:noFill/>
                </pic:spPr>
              </pic:pic>
            </a:graphicData>
          </a:graphic>
        </wp:inline>
      </w:drawing>
    </w:r>
  </w:p>
  <w:p w14:paraId="55842D71" w14:textId="77777777" w:rsidR="00026B89" w:rsidRDefault="00261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A6A9" w14:textId="77777777" w:rsidR="00261BE2" w:rsidRDefault="00261BE2">
      <w:pPr>
        <w:spacing w:after="0" w:line="240" w:lineRule="auto"/>
      </w:pPr>
      <w:r>
        <w:separator/>
      </w:r>
    </w:p>
  </w:footnote>
  <w:footnote w:type="continuationSeparator" w:id="0">
    <w:p w14:paraId="0F060973" w14:textId="77777777" w:rsidR="00261BE2" w:rsidRDefault="0026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7943" w14:textId="77777777" w:rsidR="00A959D0" w:rsidRDefault="00A60E07" w:rsidP="0010340C">
    <w:pPr>
      <w:pStyle w:val="Header"/>
    </w:pPr>
    <w:r>
      <w:rPr>
        <w:noProof/>
      </w:rPr>
      <w:drawing>
        <wp:anchor distT="0" distB="0" distL="114300" distR="114300" simplePos="0" relativeHeight="251659264" behindDoc="1" locked="0" layoutInCell="1" allowOverlap="0" wp14:anchorId="2F772511" wp14:editId="08D5D79E">
          <wp:simplePos x="0" y="0"/>
          <wp:positionH relativeFrom="page">
            <wp:align>center</wp:align>
          </wp:positionH>
          <wp:positionV relativeFrom="paragraph">
            <wp:posOffset>-254272</wp:posOffset>
          </wp:positionV>
          <wp:extent cx="7233001" cy="1365662"/>
          <wp:effectExtent l="0" t="0" r="6350" b="6350"/>
          <wp:wrapNone/>
          <wp:docPr id="249"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061" cy="13896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F4045"/>
    <w:multiLevelType w:val="hybridMultilevel"/>
    <w:tmpl w:val="B9BA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07"/>
    <w:rsid w:val="000B6488"/>
    <w:rsid w:val="001D18FF"/>
    <w:rsid w:val="00247457"/>
    <w:rsid w:val="00261BE2"/>
    <w:rsid w:val="003F13C1"/>
    <w:rsid w:val="005447F6"/>
    <w:rsid w:val="009C14EE"/>
    <w:rsid w:val="00A125A6"/>
    <w:rsid w:val="00A60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4F4"/>
  <w15:chartTrackingRefBased/>
  <w15:docId w15:val="{7F36C7C7-EE3F-4341-B5FE-2F2EDA83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07"/>
    <w:pPr>
      <w:autoSpaceDE w:val="0"/>
      <w:autoSpaceDN w:val="0"/>
      <w:adjustRightInd w:val="0"/>
      <w:spacing w:after="140" w:line="300" w:lineRule="atLeast"/>
      <w:jc w:val="both"/>
      <w:textAlignment w:val="center"/>
    </w:pPr>
    <w:rPr>
      <w:rFonts w:ascii="Gill Sans MT" w:eastAsia="Times New Roman" w:hAnsi="Gill Sans MT" w:cs="Times New Roman"/>
      <w:color w:val="000000"/>
      <w:szCs w:val="24"/>
      <w:lang w:val="en-US" w:eastAsia="en-AU"/>
    </w:rPr>
  </w:style>
  <w:style w:type="paragraph" w:styleId="Heading1">
    <w:name w:val="heading 1"/>
    <w:basedOn w:val="Normal"/>
    <w:next w:val="Normal"/>
    <w:link w:val="Heading1Char"/>
    <w:uiPriority w:val="9"/>
    <w:qFormat/>
    <w:rsid w:val="00A125A6"/>
    <w:pPr>
      <w:keepNext/>
      <w:keepLines/>
      <w:spacing w:before="240" w:after="0"/>
      <w:jc w:val="center"/>
      <w:outlineLvl w:val="0"/>
    </w:pPr>
    <w:rPr>
      <w:rFonts w:eastAsiaTheme="majorEastAsia" w:cstheme="majorBidi"/>
      <w:b/>
      <w:color w:val="FFFFFF" w:themeColor="background1"/>
      <w:sz w:val="56"/>
      <w:szCs w:val="32"/>
    </w:rPr>
  </w:style>
  <w:style w:type="paragraph" w:styleId="Heading2">
    <w:name w:val="heading 2"/>
    <w:basedOn w:val="Normal"/>
    <w:next w:val="Normal"/>
    <w:link w:val="Heading2Char"/>
    <w:uiPriority w:val="9"/>
    <w:unhideWhenUsed/>
    <w:qFormat/>
    <w:rsid w:val="00A125A6"/>
    <w:pPr>
      <w:keepNext/>
      <w:keepLines/>
      <w:spacing w:before="40" w:after="0"/>
      <w:jc w:val="left"/>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A125A6"/>
    <w:pPr>
      <w:keepNext/>
      <w:keepLines/>
      <w:spacing w:before="40" w:after="0"/>
      <w:outlineLvl w:val="2"/>
    </w:pPr>
    <w:rPr>
      <w:rFonts w:eastAsiaTheme="majorEastAsia" w:cstheme="majorBidi"/>
      <w:b/>
      <w:color w:val="auto"/>
      <w:sz w:val="28"/>
    </w:rPr>
  </w:style>
  <w:style w:type="paragraph" w:styleId="Heading5">
    <w:name w:val="heading 5"/>
    <w:basedOn w:val="Normal"/>
    <w:next w:val="Normal"/>
    <w:link w:val="Heading5Char"/>
    <w:unhideWhenUsed/>
    <w:qFormat/>
    <w:rsid w:val="00A60E07"/>
    <w:pPr>
      <w:outlineLvl w:val="4"/>
    </w:pPr>
    <w:rPr>
      <w:b/>
      <w:color w:val="FFFFFF"/>
      <w:sz w:val="28"/>
    </w:rPr>
  </w:style>
  <w:style w:type="paragraph" w:styleId="Heading6">
    <w:name w:val="heading 6"/>
    <w:basedOn w:val="Title"/>
    <w:next w:val="Normal"/>
    <w:link w:val="Heading6Char"/>
    <w:unhideWhenUsed/>
    <w:qFormat/>
    <w:rsid w:val="00A60E07"/>
    <w:pPr>
      <w:spacing w:before="240" w:after="60" w:line="300" w:lineRule="atLeast"/>
      <w:contextualSpacing w:val="0"/>
      <w:jc w:val="center"/>
      <w:outlineLvl w:val="5"/>
    </w:pPr>
    <w:rPr>
      <w:rFonts w:ascii="Gill Sans MT" w:eastAsia="Times New Roman" w:hAnsi="Gill Sans MT" w:cs="Arial"/>
      <w:b/>
      <w:bCs/>
      <w:color w:val="FFFFFF"/>
      <w:spacing w:val="0"/>
      <w:sz w:val="72"/>
      <w:szCs w:val="32"/>
    </w:rPr>
  </w:style>
  <w:style w:type="paragraph" w:styleId="Heading7">
    <w:name w:val="heading 7"/>
    <w:basedOn w:val="Subtitle"/>
    <w:next w:val="Normal"/>
    <w:link w:val="Heading7Char"/>
    <w:unhideWhenUsed/>
    <w:qFormat/>
    <w:rsid w:val="00A60E07"/>
    <w:pPr>
      <w:numPr>
        <w:ilvl w:val="0"/>
      </w:numPr>
      <w:spacing w:after="60"/>
      <w:jc w:val="center"/>
      <w:outlineLvl w:val="6"/>
    </w:pPr>
    <w:rPr>
      <w:rFonts w:ascii="Gill Sans MT" w:eastAsia="Times New Roman" w:hAnsi="Gill Sans MT" w:cs="Arial"/>
      <w:color w:val="FFFFFF"/>
      <w:spacing w:val="0"/>
      <w:sz w:val="48"/>
      <w:szCs w:val="24"/>
    </w:rPr>
  </w:style>
  <w:style w:type="paragraph" w:styleId="Heading8">
    <w:name w:val="heading 8"/>
    <w:basedOn w:val="Normal"/>
    <w:next w:val="Normal"/>
    <w:link w:val="Heading8Char"/>
    <w:unhideWhenUsed/>
    <w:qFormat/>
    <w:rsid w:val="00A60E07"/>
    <w:pPr>
      <w:keepNext/>
      <w:keepLines/>
      <w:spacing w:before="40"/>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60E07"/>
    <w:rPr>
      <w:rFonts w:ascii="Gill Sans MT" w:eastAsia="Times New Roman" w:hAnsi="Gill Sans MT" w:cs="Times New Roman"/>
      <w:b/>
      <w:color w:val="FFFFFF"/>
      <w:sz w:val="28"/>
      <w:szCs w:val="24"/>
      <w:lang w:val="en-US" w:eastAsia="en-AU"/>
    </w:rPr>
  </w:style>
  <w:style w:type="character" w:customStyle="1" w:styleId="Heading6Char">
    <w:name w:val="Heading 6 Char"/>
    <w:basedOn w:val="DefaultParagraphFont"/>
    <w:link w:val="Heading6"/>
    <w:rsid w:val="00A60E07"/>
    <w:rPr>
      <w:rFonts w:ascii="Gill Sans MT" w:eastAsia="Times New Roman" w:hAnsi="Gill Sans MT" w:cs="Arial"/>
      <w:b/>
      <w:bCs/>
      <w:color w:val="FFFFFF"/>
      <w:kern w:val="28"/>
      <w:sz w:val="72"/>
      <w:szCs w:val="32"/>
      <w:lang w:val="en-US" w:eastAsia="en-AU"/>
    </w:rPr>
  </w:style>
  <w:style w:type="character" w:customStyle="1" w:styleId="Heading7Char">
    <w:name w:val="Heading 7 Char"/>
    <w:basedOn w:val="DefaultParagraphFont"/>
    <w:link w:val="Heading7"/>
    <w:rsid w:val="00A60E07"/>
    <w:rPr>
      <w:rFonts w:ascii="Gill Sans MT" w:eastAsia="Times New Roman" w:hAnsi="Gill Sans MT" w:cs="Arial"/>
      <w:color w:val="FFFFFF"/>
      <w:sz w:val="48"/>
      <w:szCs w:val="24"/>
      <w:lang w:val="en-US" w:eastAsia="en-AU"/>
    </w:rPr>
  </w:style>
  <w:style w:type="character" w:customStyle="1" w:styleId="Heading8Char">
    <w:name w:val="Heading 8 Char"/>
    <w:basedOn w:val="DefaultParagraphFont"/>
    <w:link w:val="Heading8"/>
    <w:rsid w:val="00A60E07"/>
    <w:rPr>
      <w:rFonts w:ascii="Gill Sans MT" w:eastAsia="Times New Roman" w:hAnsi="Gill Sans MT" w:cs="Times New Roman"/>
      <w:b/>
      <w:color w:val="000000"/>
      <w:sz w:val="32"/>
      <w:szCs w:val="24"/>
      <w:lang w:val="en-US" w:eastAsia="en-AU"/>
    </w:rPr>
  </w:style>
  <w:style w:type="paragraph" w:styleId="Header">
    <w:name w:val="header"/>
    <w:basedOn w:val="Normal"/>
    <w:link w:val="HeaderChar"/>
    <w:rsid w:val="00A60E07"/>
    <w:pPr>
      <w:tabs>
        <w:tab w:val="center" w:pos="4513"/>
        <w:tab w:val="right" w:pos="9026"/>
      </w:tabs>
    </w:pPr>
  </w:style>
  <w:style w:type="character" w:customStyle="1" w:styleId="HeaderChar">
    <w:name w:val="Header Char"/>
    <w:basedOn w:val="DefaultParagraphFont"/>
    <w:link w:val="Header"/>
    <w:rsid w:val="00A60E07"/>
    <w:rPr>
      <w:rFonts w:ascii="Gill Sans MT" w:eastAsia="Times New Roman" w:hAnsi="Gill Sans MT" w:cs="Times New Roman"/>
      <w:color w:val="000000"/>
      <w:szCs w:val="24"/>
      <w:lang w:val="en-US" w:eastAsia="en-AU"/>
    </w:rPr>
  </w:style>
  <w:style w:type="paragraph" w:styleId="Footer">
    <w:name w:val="footer"/>
    <w:basedOn w:val="Normal"/>
    <w:link w:val="FooterChar"/>
    <w:uiPriority w:val="99"/>
    <w:rsid w:val="00A60E07"/>
    <w:pPr>
      <w:tabs>
        <w:tab w:val="center" w:pos="4513"/>
        <w:tab w:val="right" w:pos="9026"/>
      </w:tabs>
    </w:pPr>
  </w:style>
  <w:style w:type="character" w:customStyle="1" w:styleId="FooterChar">
    <w:name w:val="Footer Char"/>
    <w:basedOn w:val="DefaultParagraphFont"/>
    <w:link w:val="Footer"/>
    <w:uiPriority w:val="99"/>
    <w:rsid w:val="00A60E07"/>
    <w:rPr>
      <w:rFonts w:ascii="Gill Sans MT" w:eastAsia="Times New Roman" w:hAnsi="Gill Sans MT" w:cs="Times New Roman"/>
      <w:color w:val="000000"/>
      <w:szCs w:val="24"/>
      <w:lang w:val="en-US" w:eastAsia="en-AU"/>
    </w:rPr>
  </w:style>
  <w:style w:type="paragraph" w:styleId="ListParagraph">
    <w:name w:val="List Paragraph"/>
    <w:aliases w:val="Recommendation,List Paragraph1,List Paragraph11,L,bullet point list,Bullet point,List Paragraph Number,Bullets,CV text,Dot pt,F5 List Paragraph,FooterText,List Paragraph111,List Paragraph2,Medium Grid 1 - Accent 21,NAST Quote,リスト段落"/>
    <w:basedOn w:val="Normal"/>
    <w:link w:val="ListParagraphChar"/>
    <w:uiPriority w:val="34"/>
    <w:qFormat/>
    <w:rsid w:val="00A60E07"/>
    <w:pPr>
      <w:autoSpaceDE/>
      <w:autoSpaceDN/>
      <w:adjustRightInd/>
      <w:spacing w:after="200" w:line="276" w:lineRule="auto"/>
      <w:ind w:left="720"/>
      <w:contextualSpacing/>
      <w:jc w:val="left"/>
      <w:textAlignment w:val="auto"/>
    </w:pPr>
    <w:rPr>
      <w:rFonts w:asciiTheme="minorHAnsi" w:eastAsiaTheme="minorHAnsi" w:hAnsiTheme="minorHAnsi" w:cstheme="minorBidi"/>
      <w:color w:val="auto"/>
      <w:szCs w:val="22"/>
      <w:lang w:val="en-AU" w:eastAsia="en-US"/>
    </w:rPr>
  </w:style>
  <w:style w:type="character" w:customStyle="1" w:styleId="ListParagraphChar">
    <w:name w:val="List Paragraph Char"/>
    <w:aliases w:val="Recommendation Char,List Paragraph1 Char,List Paragraph11 Char,L Char,bullet point list Char,Bullet point Char,List Paragraph Number Char,Bullets Char,CV text Char,Dot pt Char,F5 List Paragraph Char,FooterText Char,NAST Quote Char"/>
    <w:link w:val="ListParagraph"/>
    <w:uiPriority w:val="34"/>
    <w:rsid w:val="00A60E07"/>
  </w:style>
  <w:style w:type="character" w:styleId="Hyperlink">
    <w:name w:val="Hyperlink"/>
    <w:basedOn w:val="DefaultParagraphFont"/>
    <w:rsid w:val="00A60E07"/>
    <w:rPr>
      <w:color w:val="0563C1" w:themeColor="hyperlink"/>
      <w:u w:val="single"/>
    </w:rPr>
  </w:style>
  <w:style w:type="paragraph" w:styleId="Title">
    <w:name w:val="Title"/>
    <w:basedOn w:val="Normal"/>
    <w:next w:val="Normal"/>
    <w:link w:val="TitleChar"/>
    <w:uiPriority w:val="10"/>
    <w:qFormat/>
    <w:rsid w:val="00A60E0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60E07"/>
    <w:rPr>
      <w:rFonts w:asciiTheme="majorHAnsi" w:eastAsiaTheme="majorEastAsia" w:hAnsiTheme="majorHAnsi" w:cstheme="majorBidi"/>
      <w:spacing w:val="-10"/>
      <w:kern w:val="28"/>
      <w:sz w:val="56"/>
      <w:szCs w:val="56"/>
      <w:lang w:val="en-US" w:eastAsia="en-AU"/>
    </w:rPr>
  </w:style>
  <w:style w:type="paragraph" w:styleId="Subtitle">
    <w:name w:val="Subtitle"/>
    <w:basedOn w:val="Normal"/>
    <w:next w:val="Normal"/>
    <w:link w:val="SubtitleChar"/>
    <w:uiPriority w:val="11"/>
    <w:qFormat/>
    <w:rsid w:val="00A60E0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60E07"/>
    <w:rPr>
      <w:rFonts w:eastAsiaTheme="minorEastAsia"/>
      <w:color w:val="5A5A5A" w:themeColor="text1" w:themeTint="A5"/>
      <w:spacing w:val="15"/>
      <w:lang w:val="en-US" w:eastAsia="en-AU"/>
    </w:rPr>
  </w:style>
  <w:style w:type="character" w:customStyle="1" w:styleId="Heading1Char">
    <w:name w:val="Heading 1 Char"/>
    <w:basedOn w:val="DefaultParagraphFont"/>
    <w:link w:val="Heading1"/>
    <w:uiPriority w:val="9"/>
    <w:rsid w:val="00A125A6"/>
    <w:rPr>
      <w:rFonts w:ascii="Gill Sans MT" w:eastAsiaTheme="majorEastAsia" w:hAnsi="Gill Sans MT" w:cstheme="majorBidi"/>
      <w:b/>
      <w:color w:val="FFFFFF" w:themeColor="background1"/>
      <w:sz w:val="56"/>
      <w:szCs w:val="32"/>
      <w:lang w:val="en-US" w:eastAsia="en-AU"/>
    </w:rPr>
  </w:style>
  <w:style w:type="character" w:customStyle="1" w:styleId="Heading2Char">
    <w:name w:val="Heading 2 Char"/>
    <w:basedOn w:val="DefaultParagraphFont"/>
    <w:link w:val="Heading2"/>
    <w:uiPriority w:val="9"/>
    <w:rsid w:val="00A125A6"/>
    <w:rPr>
      <w:rFonts w:ascii="Gill Sans MT" w:eastAsiaTheme="majorEastAsia" w:hAnsi="Gill Sans MT" w:cstheme="majorBidi"/>
      <w:b/>
      <w:sz w:val="32"/>
      <w:szCs w:val="26"/>
      <w:lang w:val="en-US" w:eastAsia="en-AU"/>
    </w:rPr>
  </w:style>
  <w:style w:type="character" w:customStyle="1" w:styleId="Heading3Char">
    <w:name w:val="Heading 3 Char"/>
    <w:basedOn w:val="DefaultParagraphFont"/>
    <w:link w:val="Heading3"/>
    <w:uiPriority w:val="9"/>
    <w:rsid w:val="00A125A6"/>
    <w:rPr>
      <w:rFonts w:ascii="Gill Sans MT" w:eastAsiaTheme="majorEastAsia" w:hAnsi="Gill Sans MT" w:cstheme="majorBidi"/>
      <w:b/>
      <w:sz w:val="28"/>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drugstrategy" TargetMode="External"/><Relationship Id="rId13" Type="http://schemas.openxmlformats.org/officeDocument/2006/relationships/hyperlink" Target="https://www.dhhs.tas.gov.au/mentalhealth/alcohol_and_drug/reform_agenda_for_ads" TargetMode="External"/><Relationship Id="rId3" Type="http://schemas.openxmlformats.org/officeDocument/2006/relationships/settings" Target="settings.xml"/><Relationship Id="rId7" Type="http://schemas.openxmlformats.org/officeDocument/2006/relationships/hyperlink" Target="mailto:director.mhadd@health.ta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hhs.tas.gov.au/drugstrategy" TargetMode="External"/><Relationship Id="rId4" Type="http://schemas.openxmlformats.org/officeDocument/2006/relationships/webSettings" Target="webSettings.xml"/><Relationship Id="rId9" Type="http://schemas.openxmlformats.org/officeDocument/2006/relationships/hyperlink" Target="mailto:director.mhadd@health.ta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Tasmanian Drug Strategy and the Reform Agenda for the Alcohol and Other Drugs Sector in Tasmania</dc:title>
  <dc:subject/>
  <dc:creator>Director Mental Health, Alcohol &amp; Drug Directorate</dc:creator>
  <cp:keywords/>
  <dc:description/>
  <cp:lastModifiedBy>Toon, Karen M</cp:lastModifiedBy>
  <cp:revision>2</cp:revision>
  <dcterms:created xsi:type="dcterms:W3CDTF">2020-10-27T05:36:00Z</dcterms:created>
  <dcterms:modified xsi:type="dcterms:W3CDTF">2020-10-27T05:36:00Z</dcterms:modified>
</cp:coreProperties>
</file>