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92D" w:rsidRPr="0035792D" w:rsidRDefault="0035792D" w:rsidP="0035792D">
      <w:pPr>
        <w:pStyle w:val="Title"/>
      </w:pPr>
      <w:r w:rsidRPr="0035792D">
        <w:t>RHH Access Solutions Action Plan</w:t>
      </w:r>
    </w:p>
    <w:p w:rsidR="00840228" w:rsidRPr="00036C4D" w:rsidRDefault="00244B60">
      <w:pPr>
        <w:rPr>
          <w:rFonts w:ascii="Gill Sans MT" w:hAnsi="Gill Sans MT"/>
        </w:rPr>
      </w:pPr>
      <w:proofErr w:type="gramStart"/>
      <w:r w:rsidRPr="00036C4D">
        <w:rPr>
          <w:rFonts w:ascii="Gill Sans MT" w:hAnsi="Gill Sans MT"/>
        </w:rPr>
        <w:t>A number of</w:t>
      </w:r>
      <w:proofErr w:type="gramEnd"/>
      <w:r w:rsidRPr="00036C4D">
        <w:rPr>
          <w:rFonts w:ascii="Gill Sans MT" w:hAnsi="Gill Sans MT"/>
        </w:rPr>
        <w:t xml:space="preserve"> actions have been identified</w:t>
      </w:r>
      <w:r w:rsidR="00840228" w:rsidRPr="00036C4D">
        <w:rPr>
          <w:rFonts w:ascii="Gill Sans MT" w:hAnsi="Gill Sans MT"/>
        </w:rPr>
        <w:t xml:space="preserve"> to improve patient flow and maximise emergency department efficiency. This includes streamlin</w:t>
      </w:r>
      <w:r w:rsidR="009C6DF5">
        <w:rPr>
          <w:rFonts w:ascii="Gill Sans MT" w:hAnsi="Gill Sans MT"/>
        </w:rPr>
        <w:t>ing</w:t>
      </w:r>
      <w:r w:rsidR="00840228" w:rsidRPr="00036C4D">
        <w:rPr>
          <w:rFonts w:ascii="Gill Sans MT" w:hAnsi="Gill Sans MT"/>
        </w:rPr>
        <w:t xml:space="preserve"> collaboration between hospital departments, improving culture and empowering staff to implement change within hospital environments, and ensuring accountability to guarantee that measures to improve patient outcomes and timely care are implemented. </w:t>
      </w:r>
    </w:p>
    <w:p w:rsidR="00840228" w:rsidRPr="00036C4D" w:rsidRDefault="00840228" w:rsidP="00840228">
      <w:pPr>
        <w:rPr>
          <w:rFonts w:ascii="Gill Sans MT" w:eastAsia="Times New Roman" w:hAnsi="Gill Sans MT"/>
          <w:lang w:eastAsia="en-AU"/>
        </w:rPr>
      </w:pPr>
      <w:r w:rsidRPr="00036C4D">
        <w:rPr>
          <w:rFonts w:ascii="Gill Sans MT" w:hAnsi="Gill Sans MT"/>
        </w:rPr>
        <w:t xml:space="preserve">The Action Plan has been informed </w:t>
      </w:r>
      <w:r w:rsidR="009C6DF5">
        <w:rPr>
          <w:rFonts w:ascii="Gill Sans MT" w:eastAsia="Times New Roman" w:hAnsi="Gill Sans MT"/>
          <w:lang w:eastAsia="en-AU"/>
        </w:rPr>
        <w:t>by the Royal Hobart Hospital (RHH)</w:t>
      </w:r>
      <w:r w:rsidR="00CD59E9" w:rsidRPr="00036C4D">
        <w:rPr>
          <w:rFonts w:ascii="Gill Sans MT" w:eastAsia="Times New Roman" w:hAnsi="Gill Sans MT"/>
          <w:lang w:eastAsia="en-AU"/>
        </w:rPr>
        <w:t xml:space="preserve"> Access Solutions Meeting, </w:t>
      </w:r>
      <w:r w:rsidR="009C6DF5">
        <w:rPr>
          <w:rFonts w:ascii="Gill Sans MT" w:eastAsia="Times New Roman" w:hAnsi="Gill Sans MT"/>
          <w:lang w:eastAsia="en-AU"/>
        </w:rPr>
        <w:t xml:space="preserve">input from the Australasian College for Emergency </w:t>
      </w:r>
      <w:r w:rsidR="00B6200D">
        <w:rPr>
          <w:rFonts w:ascii="Gill Sans MT" w:eastAsia="Times New Roman" w:hAnsi="Gill Sans MT"/>
          <w:lang w:eastAsia="en-AU"/>
        </w:rPr>
        <w:t>Medicine</w:t>
      </w:r>
      <w:r w:rsidRPr="00036C4D">
        <w:rPr>
          <w:rFonts w:ascii="Gill Sans MT" w:eastAsia="Times New Roman" w:hAnsi="Gill Sans MT"/>
          <w:lang w:eastAsia="en-AU"/>
        </w:rPr>
        <w:t xml:space="preserve">, </w:t>
      </w:r>
      <w:r w:rsidR="009C6DF5">
        <w:rPr>
          <w:rFonts w:ascii="Gill Sans MT" w:eastAsia="Times New Roman" w:hAnsi="Gill Sans MT"/>
          <w:lang w:eastAsia="en-AU"/>
        </w:rPr>
        <w:t xml:space="preserve">previous expert reviews, the Auditor General’s Report, </w:t>
      </w:r>
      <w:r w:rsidRPr="00036C4D">
        <w:rPr>
          <w:rFonts w:ascii="Gill Sans MT" w:eastAsia="Times New Roman" w:hAnsi="Gill Sans MT"/>
          <w:lang w:eastAsia="en-AU"/>
        </w:rPr>
        <w:t xml:space="preserve">government commitments and funding profile for new beds, action </w:t>
      </w:r>
      <w:r w:rsidR="009C6DF5">
        <w:rPr>
          <w:rFonts w:ascii="Gill Sans MT" w:eastAsia="Times New Roman" w:hAnsi="Gill Sans MT"/>
          <w:lang w:eastAsia="en-AU"/>
        </w:rPr>
        <w:t xml:space="preserve">already </w:t>
      </w:r>
      <w:r w:rsidRPr="00036C4D">
        <w:rPr>
          <w:rFonts w:ascii="Gill Sans MT" w:eastAsia="Times New Roman" w:hAnsi="Gill Sans MT"/>
          <w:lang w:eastAsia="en-AU"/>
        </w:rPr>
        <w:t>underway at the RHH</w:t>
      </w:r>
      <w:r w:rsidR="00AD440D">
        <w:rPr>
          <w:rFonts w:ascii="Gill Sans MT" w:eastAsia="Times New Roman" w:hAnsi="Gill Sans MT"/>
          <w:lang w:eastAsia="en-AU"/>
        </w:rPr>
        <w:t xml:space="preserve"> </w:t>
      </w:r>
      <w:r w:rsidRPr="00036C4D">
        <w:rPr>
          <w:rFonts w:ascii="Gill Sans MT" w:eastAsia="Times New Roman" w:hAnsi="Gill Sans MT"/>
          <w:lang w:eastAsia="en-AU"/>
        </w:rPr>
        <w:t>and governance requirements</w:t>
      </w:r>
      <w:r w:rsidR="00F42679" w:rsidRPr="00036C4D">
        <w:rPr>
          <w:rFonts w:ascii="Gill Sans MT" w:eastAsia="Times New Roman" w:hAnsi="Gill Sans MT"/>
          <w:lang w:eastAsia="en-AU"/>
        </w:rPr>
        <w:t>.</w:t>
      </w:r>
    </w:p>
    <w:p w:rsidR="00CE54A7" w:rsidRDefault="00CE54A7" w:rsidP="00840228">
      <w:pPr>
        <w:rPr>
          <w:rFonts w:ascii="Gill Sans MT" w:hAnsi="Gill Sans MT"/>
        </w:rPr>
      </w:pPr>
      <w:r w:rsidRPr="00036C4D">
        <w:rPr>
          <w:rFonts w:ascii="Gill Sans MT" w:eastAsia="Times New Roman" w:hAnsi="Gill Sans MT"/>
          <w:lang w:eastAsia="en-AU"/>
        </w:rPr>
        <w:t xml:space="preserve">The </w:t>
      </w:r>
      <w:r w:rsidR="009C6DF5" w:rsidRPr="00036C4D">
        <w:rPr>
          <w:rFonts w:ascii="Gill Sans MT" w:eastAsia="Times New Roman" w:hAnsi="Gill Sans MT"/>
          <w:lang w:eastAsia="en-AU"/>
        </w:rPr>
        <w:t xml:space="preserve">Department of Health and </w:t>
      </w:r>
      <w:r w:rsidRPr="00036C4D">
        <w:rPr>
          <w:rFonts w:ascii="Gill Sans MT" w:eastAsia="Times New Roman" w:hAnsi="Gill Sans MT"/>
          <w:lang w:eastAsia="en-AU"/>
        </w:rPr>
        <w:t xml:space="preserve">Tasmanian Health Service are </w:t>
      </w:r>
      <w:r w:rsidR="009C6DF5">
        <w:rPr>
          <w:rFonts w:ascii="Gill Sans MT" w:eastAsia="Times New Roman" w:hAnsi="Gill Sans MT"/>
          <w:lang w:eastAsia="en-AU"/>
        </w:rPr>
        <w:t>collaborating</w:t>
      </w:r>
      <w:r w:rsidRPr="00036C4D">
        <w:rPr>
          <w:rFonts w:ascii="Gill Sans MT" w:eastAsia="Times New Roman" w:hAnsi="Gill Sans MT"/>
          <w:lang w:eastAsia="en-AU"/>
        </w:rPr>
        <w:t xml:space="preserve"> to address and </w:t>
      </w:r>
      <w:r w:rsidR="009C6DF5">
        <w:rPr>
          <w:rFonts w:ascii="Gill Sans MT" w:eastAsia="Times New Roman" w:hAnsi="Gill Sans MT"/>
          <w:lang w:eastAsia="en-AU"/>
        </w:rPr>
        <w:t>improve</w:t>
      </w:r>
      <w:r w:rsidRPr="00036C4D">
        <w:rPr>
          <w:rFonts w:ascii="Gill Sans MT" w:eastAsia="Times New Roman" w:hAnsi="Gill Sans MT"/>
          <w:lang w:eastAsia="en-AU"/>
        </w:rPr>
        <w:t xml:space="preserve"> </w:t>
      </w:r>
      <w:r w:rsidRPr="00036C4D">
        <w:rPr>
          <w:rFonts w:ascii="Gill Sans MT" w:hAnsi="Gill Sans MT"/>
        </w:rPr>
        <w:t xml:space="preserve">patient flow and </w:t>
      </w:r>
      <w:r w:rsidR="00E6550B">
        <w:rPr>
          <w:rFonts w:ascii="Gill Sans MT" w:hAnsi="Gill Sans MT"/>
        </w:rPr>
        <w:t>maximis</w:t>
      </w:r>
      <w:r w:rsidR="009C6DF5">
        <w:rPr>
          <w:rFonts w:ascii="Gill Sans MT" w:hAnsi="Gill Sans MT"/>
        </w:rPr>
        <w:t>e</w:t>
      </w:r>
      <w:r w:rsidR="00E6550B">
        <w:rPr>
          <w:rFonts w:ascii="Gill Sans MT" w:hAnsi="Gill Sans MT"/>
        </w:rPr>
        <w:t xml:space="preserve"> </w:t>
      </w:r>
      <w:r w:rsidRPr="00036C4D">
        <w:rPr>
          <w:rFonts w:ascii="Gill Sans MT" w:hAnsi="Gill Sans MT"/>
        </w:rPr>
        <w:t xml:space="preserve">emergency department </w:t>
      </w:r>
      <w:r w:rsidR="009C6DF5">
        <w:rPr>
          <w:rFonts w:ascii="Gill Sans MT" w:hAnsi="Gill Sans MT"/>
        </w:rPr>
        <w:t>operation</w:t>
      </w:r>
      <w:r w:rsidRPr="00036C4D">
        <w:rPr>
          <w:rFonts w:ascii="Gill Sans MT" w:hAnsi="Gill Sans MT"/>
        </w:rPr>
        <w:t xml:space="preserve">.  </w:t>
      </w:r>
      <w:r w:rsidR="004B7EFA" w:rsidRPr="00036C4D">
        <w:rPr>
          <w:rFonts w:ascii="Gill Sans MT" w:hAnsi="Gill Sans MT"/>
        </w:rPr>
        <w:t xml:space="preserve">The following identifies the actions as immediate, short term, medium term and long term. </w:t>
      </w:r>
    </w:p>
    <w:p w:rsidR="00574A19" w:rsidRPr="00036C4D" w:rsidRDefault="00574A19" w:rsidP="00574A19">
      <w:pPr>
        <w:rPr>
          <w:rFonts w:ascii="Gill Sans MT" w:hAnsi="Gill Sans MT"/>
        </w:rPr>
      </w:pPr>
      <w:r>
        <w:rPr>
          <w:rFonts w:ascii="Gill Sans MT" w:hAnsi="Gill Sans MT"/>
        </w:rPr>
        <w:t xml:space="preserve">Public updates will be provided at the end of each quarter. </w:t>
      </w:r>
      <w:r w:rsidR="00DE5014">
        <w:rPr>
          <w:rFonts w:ascii="Gill Sans MT" w:hAnsi="Gill Sans MT"/>
        </w:rPr>
        <w:br/>
      </w:r>
    </w:p>
    <w:p w:rsidR="004B7EFA" w:rsidRPr="0035792D" w:rsidRDefault="004B7EFA" w:rsidP="0035792D">
      <w:pPr>
        <w:pStyle w:val="Heading1"/>
      </w:pPr>
      <w:r w:rsidRPr="0035792D">
        <w:t>Immediate action</w:t>
      </w:r>
      <w:r w:rsidR="0034724F" w:rsidRPr="0035792D">
        <w:t>s (within 2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1842"/>
      </w:tblGrid>
      <w:tr w:rsidR="00EA281D" w:rsidRPr="00317656" w:rsidTr="008075E2">
        <w:trPr>
          <w:tblHeader/>
        </w:trPr>
        <w:tc>
          <w:tcPr>
            <w:tcW w:w="755" w:type="pct"/>
            <w:shd w:val="clear" w:color="auto" w:fill="2E74B5"/>
          </w:tcPr>
          <w:p w:rsidR="00EA281D" w:rsidRPr="0025319F" w:rsidRDefault="00EA281D" w:rsidP="00840228">
            <w:pPr>
              <w:rPr>
                <w:rFonts w:ascii="Gill Sans MT" w:hAnsi="Gill Sans MT"/>
                <w:b/>
                <w:color w:val="FFFFFF" w:themeColor="background1"/>
                <w:sz w:val="28"/>
              </w:rPr>
            </w:pPr>
            <w:r w:rsidRPr="0025319F">
              <w:rPr>
                <w:rFonts w:ascii="Gill Sans MT" w:hAnsi="Gill Sans MT"/>
                <w:b/>
                <w:color w:val="FFFFFF" w:themeColor="background1"/>
                <w:sz w:val="28"/>
              </w:rPr>
              <w:t>Focus</w:t>
            </w:r>
          </w:p>
        </w:tc>
        <w:tc>
          <w:tcPr>
            <w:tcW w:w="4245" w:type="pct"/>
            <w:shd w:val="clear" w:color="auto" w:fill="2E74B5"/>
          </w:tcPr>
          <w:p w:rsidR="00EA281D" w:rsidRPr="0025319F" w:rsidRDefault="00EA281D" w:rsidP="00840228">
            <w:pPr>
              <w:rPr>
                <w:rFonts w:ascii="Gill Sans MT" w:hAnsi="Gill Sans MT"/>
                <w:b/>
                <w:color w:val="FFFFFF" w:themeColor="background1"/>
                <w:sz w:val="28"/>
              </w:rPr>
            </w:pPr>
            <w:r w:rsidRPr="0025319F">
              <w:rPr>
                <w:rFonts w:ascii="Gill Sans MT" w:hAnsi="Gill Sans MT"/>
                <w:b/>
                <w:color w:val="FFFFFF" w:themeColor="background1"/>
                <w:sz w:val="28"/>
              </w:rPr>
              <w:t>Action</w:t>
            </w:r>
          </w:p>
        </w:tc>
      </w:tr>
      <w:tr w:rsidR="00EA281D" w:rsidRPr="00317656" w:rsidTr="0025319F">
        <w:tc>
          <w:tcPr>
            <w:tcW w:w="755" w:type="pct"/>
            <w:shd w:val="clear" w:color="auto" w:fill="F2F2F2" w:themeFill="background1" w:themeFillShade="F2"/>
          </w:tcPr>
          <w:p w:rsidR="00EA281D" w:rsidRPr="00317656" w:rsidRDefault="00EA281D" w:rsidP="00840228">
            <w:pPr>
              <w:rPr>
                <w:rFonts w:ascii="Gill Sans MT" w:hAnsi="Gill Sans MT"/>
                <w:b/>
              </w:rPr>
            </w:pPr>
            <w:r w:rsidRPr="00317656">
              <w:rPr>
                <w:rFonts w:ascii="Gill Sans MT" w:hAnsi="Gill Sans MT"/>
                <w:b/>
              </w:rPr>
              <w:t>Access to Data</w:t>
            </w:r>
          </w:p>
        </w:tc>
        <w:tc>
          <w:tcPr>
            <w:tcW w:w="4245" w:type="pct"/>
            <w:shd w:val="clear" w:color="auto" w:fill="auto"/>
          </w:tcPr>
          <w:p w:rsidR="00AD440D" w:rsidRDefault="00AD440D" w:rsidP="00AD440D">
            <w:pPr>
              <w:rPr>
                <w:rFonts w:ascii="Gill Sans MT" w:hAnsi="Gill Sans MT"/>
              </w:rPr>
            </w:pPr>
            <w:r w:rsidRPr="00317656">
              <w:rPr>
                <w:rFonts w:ascii="Gill Sans MT" w:hAnsi="Gill Sans MT"/>
              </w:rPr>
              <w:t xml:space="preserve">Improve access to high quality data to drive quality of care, communication and service efficiency through </w:t>
            </w:r>
            <w:r>
              <w:rPr>
                <w:rFonts w:ascii="Gill Sans MT" w:hAnsi="Gill Sans MT"/>
              </w:rPr>
              <w:t xml:space="preserve">commencing prompt </w:t>
            </w:r>
            <w:r w:rsidRPr="00317656">
              <w:rPr>
                <w:rFonts w:ascii="Gill Sans MT" w:hAnsi="Gill Sans MT"/>
              </w:rPr>
              <w:t xml:space="preserve">implementation of </w:t>
            </w:r>
            <w:proofErr w:type="spellStart"/>
            <w:r w:rsidRPr="00317656">
              <w:rPr>
                <w:rFonts w:ascii="Gill Sans MT" w:hAnsi="Gill Sans MT"/>
              </w:rPr>
              <w:t>Medtasker</w:t>
            </w:r>
            <w:proofErr w:type="spellEnd"/>
            <w:r w:rsidRPr="00317656">
              <w:rPr>
                <w:rFonts w:ascii="Gill Sans MT" w:hAnsi="Gill Sans MT"/>
              </w:rPr>
              <w:t xml:space="preserve"> </w:t>
            </w:r>
            <w:r>
              <w:rPr>
                <w:rFonts w:ascii="Gill Sans MT" w:hAnsi="Gill Sans MT"/>
              </w:rPr>
              <w:t>for all</w:t>
            </w:r>
            <w:r w:rsidRPr="00317656">
              <w:rPr>
                <w:rFonts w:ascii="Gill Sans MT" w:hAnsi="Gill Sans MT"/>
              </w:rPr>
              <w:t xml:space="preserve"> medical staff at the RHH.  </w:t>
            </w:r>
            <w:proofErr w:type="spellStart"/>
            <w:r w:rsidRPr="00317656">
              <w:rPr>
                <w:rFonts w:ascii="Gill Sans MT" w:hAnsi="Gill Sans MT"/>
              </w:rPr>
              <w:t>Medtasker</w:t>
            </w:r>
            <w:proofErr w:type="spellEnd"/>
            <w:r w:rsidRPr="00317656">
              <w:rPr>
                <w:rFonts w:ascii="Gill Sans MT" w:hAnsi="Gill Sans MT"/>
              </w:rPr>
              <w:t xml:space="preserve"> will also be integrated with </w:t>
            </w:r>
            <w:proofErr w:type="spellStart"/>
            <w:r w:rsidRPr="00317656">
              <w:rPr>
                <w:rFonts w:ascii="Gill Sans MT" w:hAnsi="Gill Sans MT"/>
              </w:rPr>
              <w:t>TrakCare</w:t>
            </w:r>
            <w:proofErr w:type="spellEnd"/>
            <w:r>
              <w:rPr>
                <w:rFonts w:ascii="Gill Sans MT" w:hAnsi="Gill Sans MT"/>
              </w:rPr>
              <w:t xml:space="preserve"> to streamline referral and communication</w:t>
            </w:r>
            <w:r w:rsidRPr="00317656">
              <w:rPr>
                <w:rFonts w:ascii="Gill Sans MT" w:hAnsi="Gill Sans MT"/>
              </w:rPr>
              <w:t>.</w:t>
            </w:r>
            <w:r>
              <w:rPr>
                <w:rFonts w:ascii="Gill Sans MT" w:hAnsi="Gill Sans MT"/>
              </w:rPr>
              <w:t xml:space="preserve"> Development of ways in which </w:t>
            </w:r>
            <w:proofErr w:type="spellStart"/>
            <w:r>
              <w:rPr>
                <w:rFonts w:ascii="Gill Sans MT" w:hAnsi="Gill Sans MT"/>
              </w:rPr>
              <w:t>Medtasker</w:t>
            </w:r>
            <w:proofErr w:type="spellEnd"/>
            <w:r>
              <w:rPr>
                <w:rFonts w:ascii="Gill Sans MT" w:hAnsi="Gill Sans MT"/>
              </w:rPr>
              <w:t xml:space="preserve"> can automate notification of delays and flow impediments</w:t>
            </w:r>
            <w:r w:rsidRPr="00317656">
              <w:rPr>
                <w:rFonts w:ascii="Gill Sans MT" w:hAnsi="Gill Sans MT"/>
              </w:rPr>
              <w:t xml:space="preserve"> </w:t>
            </w:r>
          </w:p>
          <w:p w:rsidR="00AD440D" w:rsidRDefault="00AD440D" w:rsidP="00AD440D">
            <w:pPr>
              <w:rPr>
                <w:rFonts w:ascii="Gill Sans MT" w:hAnsi="Gill Sans MT"/>
              </w:rPr>
            </w:pPr>
            <w:r w:rsidRPr="005D68CD">
              <w:rPr>
                <w:rFonts w:ascii="Gill Sans MT" w:hAnsi="Gill Sans MT"/>
              </w:rPr>
              <w:t xml:space="preserve">Prioritise </w:t>
            </w:r>
            <w:r>
              <w:rPr>
                <w:rFonts w:ascii="Gill Sans MT" w:hAnsi="Gill Sans MT"/>
              </w:rPr>
              <w:t xml:space="preserve">implementation of </w:t>
            </w:r>
            <w:r w:rsidRPr="005D68CD">
              <w:rPr>
                <w:rFonts w:ascii="Gill Sans MT" w:hAnsi="Gill Sans MT"/>
              </w:rPr>
              <w:t>a live feed to</w:t>
            </w:r>
            <w:r>
              <w:rPr>
                <w:rFonts w:ascii="Gill Sans MT" w:hAnsi="Gill Sans MT"/>
              </w:rPr>
              <w:t xml:space="preserve"> the</w:t>
            </w:r>
            <w:r w:rsidRPr="005D68CD">
              <w:rPr>
                <w:rFonts w:ascii="Gill Sans MT" w:hAnsi="Gill Sans MT"/>
              </w:rPr>
              <w:t xml:space="preserve"> I</w:t>
            </w:r>
            <w:r>
              <w:rPr>
                <w:rFonts w:ascii="Gill Sans MT" w:hAnsi="Gill Sans MT"/>
              </w:rPr>
              <w:t xml:space="preserve">ntegrated </w:t>
            </w:r>
            <w:r w:rsidRPr="005D68CD">
              <w:rPr>
                <w:rFonts w:ascii="Gill Sans MT" w:hAnsi="Gill Sans MT"/>
              </w:rPr>
              <w:t>O</w:t>
            </w:r>
            <w:r>
              <w:rPr>
                <w:rFonts w:ascii="Gill Sans MT" w:hAnsi="Gill Sans MT"/>
              </w:rPr>
              <w:t xml:space="preserve">perations </w:t>
            </w:r>
            <w:r w:rsidRPr="005D68CD">
              <w:rPr>
                <w:rFonts w:ascii="Gill Sans MT" w:hAnsi="Gill Sans MT"/>
              </w:rPr>
              <w:t>C</w:t>
            </w:r>
            <w:r>
              <w:rPr>
                <w:rFonts w:ascii="Gill Sans MT" w:hAnsi="Gill Sans MT"/>
              </w:rPr>
              <w:t>entre</w:t>
            </w:r>
            <w:r w:rsidRPr="005D68CD">
              <w:rPr>
                <w:rFonts w:ascii="Gill Sans MT" w:hAnsi="Gill Sans MT"/>
              </w:rPr>
              <w:t>.</w:t>
            </w:r>
          </w:p>
          <w:p w:rsidR="00EA281D" w:rsidRPr="00317656" w:rsidRDefault="00AD440D" w:rsidP="00AD440D">
            <w:pPr>
              <w:rPr>
                <w:rFonts w:ascii="Gill Sans MT" w:hAnsi="Gill Sans MT"/>
              </w:rPr>
            </w:pPr>
            <w:r>
              <w:rPr>
                <w:rFonts w:ascii="Gill Sans MT" w:hAnsi="Gill Sans MT"/>
              </w:rPr>
              <w:t>Provide appropriate support to senior clinicians to enable best use of available data.</w:t>
            </w:r>
          </w:p>
        </w:tc>
      </w:tr>
      <w:tr w:rsidR="008075E2" w:rsidRPr="00317656" w:rsidTr="0025319F">
        <w:tc>
          <w:tcPr>
            <w:tcW w:w="755" w:type="pct"/>
            <w:shd w:val="clear" w:color="auto" w:fill="F2F2F2" w:themeFill="background1" w:themeFillShade="F2"/>
          </w:tcPr>
          <w:p w:rsidR="008075E2" w:rsidRPr="00317656" w:rsidRDefault="008075E2" w:rsidP="008075E2">
            <w:pPr>
              <w:rPr>
                <w:rFonts w:ascii="Gill Sans MT" w:hAnsi="Gill Sans MT"/>
                <w:b/>
              </w:rPr>
            </w:pPr>
            <w:r w:rsidRPr="00317656">
              <w:rPr>
                <w:rFonts w:ascii="Gill Sans MT" w:hAnsi="Gill Sans MT"/>
                <w:b/>
              </w:rPr>
              <w:t>Timely and Quality Care</w:t>
            </w:r>
          </w:p>
        </w:tc>
        <w:tc>
          <w:tcPr>
            <w:tcW w:w="4245" w:type="pct"/>
            <w:shd w:val="clear" w:color="auto" w:fill="auto"/>
          </w:tcPr>
          <w:p w:rsidR="008075E2" w:rsidRPr="00317656" w:rsidRDefault="008075E2" w:rsidP="008075E2">
            <w:pPr>
              <w:rPr>
                <w:rFonts w:ascii="Gill Sans MT" w:hAnsi="Gill Sans MT"/>
              </w:rPr>
            </w:pPr>
            <w:r>
              <w:rPr>
                <w:rFonts w:ascii="Gill Sans MT" w:hAnsi="Gill Sans MT"/>
              </w:rPr>
              <w:t xml:space="preserve">RHH to </w:t>
            </w:r>
            <w:r w:rsidRPr="00317656">
              <w:rPr>
                <w:rFonts w:ascii="Gill Sans MT" w:hAnsi="Gill Sans MT"/>
              </w:rPr>
              <w:t xml:space="preserve">implement the principles of timely and quality care. </w:t>
            </w:r>
          </w:p>
          <w:tbl>
            <w:tblPr>
              <w:tblW w:w="9814" w:type="dxa"/>
              <w:tblCellMar>
                <w:left w:w="0" w:type="dxa"/>
                <w:right w:w="0" w:type="dxa"/>
              </w:tblCellMar>
              <w:tblLook w:val="04A0" w:firstRow="1" w:lastRow="0" w:firstColumn="1" w:lastColumn="0" w:noHBand="0" w:noVBand="1"/>
            </w:tblPr>
            <w:tblGrid>
              <w:gridCol w:w="1860"/>
              <w:gridCol w:w="7954"/>
            </w:tblGrid>
            <w:tr w:rsidR="008075E2" w:rsidRPr="00036C4D" w:rsidTr="00517474">
              <w:trPr>
                <w:trHeight w:val="1443"/>
              </w:trPr>
              <w:tc>
                <w:tcPr>
                  <w:tcW w:w="1860" w:type="dxa"/>
                  <w:tcBorders>
                    <w:top w:val="nil"/>
                    <w:left w:val="nil"/>
                    <w:bottom w:val="nil"/>
                    <w:right w:val="nil"/>
                  </w:tcBorders>
                  <w:shd w:val="clear" w:color="auto" w:fill="003041"/>
                  <w:tcMar>
                    <w:top w:w="15" w:type="dxa"/>
                    <w:left w:w="88" w:type="dxa"/>
                    <w:bottom w:w="0" w:type="dxa"/>
                    <w:right w:w="88" w:type="dxa"/>
                  </w:tcMar>
                  <w:hideMark/>
                </w:tcPr>
                <w:p w:rsidR="008075E2" w:rsidRPr="00036C4D" w:rsidRDefault="008075E2" w:rsidP="008075E2">
                  <w:pPr>
                    <w:rPr>
                      <w:rFonts w:ascii="Gill Sans MT" w:hAnsi="Gill Sans MT"/>
                    </w:rPr>
                  </w:pPr>
                  <w:r w:rsidRPr="00036C4D">
                    <w:rPr>
                      <w:rFonts w:ascii="Gill Sans MT" w:hAnsi="Gill Sans MT"/>
                      <w:b/>
                      <w:bCs/>
                    </w:rPr>
                    <w:lastRenderedPageBreak/>
                    <w:t>Principle 1</w:t>
                  </w:r>
                </w:p>
              </w:tc>
              <w:tc>
                <w:tcPr>
                  <w:tcW w:w="7954" w:type="dxa"/>
                  <w:tcBorders>
                    <w:top w:val="nil"/>
                    <w:left w:val="nil"/>
                    <w:bottom w:val="nil"/>
                    <w:right w:val="nil"/>
                  </w:tcBorders>
                  <w:shd w:val="clear" w:color="auto" w:fill="003041"/>
                  <w:tcMar>
                    <w:top w:w="15" w:type="dxa"/>
                    <w:left w:w="88" w:type="dxa"/>
                    <w:bottom w:w="0" w:type="dxa"/>
                    <w:right w:w="88" w:type="dxa"/>
                  </w:tcMar>
                  <w:hideMark/>
                </w:tcPr>
                <w:p w:rsidR="008075E2" w:rsidRPr="00036C4D" w:rsidRDefault="008075E2" w:rsidP="008075E2">
                  <w:pPr>
                    <w:rPr>
                      <w:rFonts w:ascii="Gill Sans MT" w:hAnsi="Gill Sans MT"/>
                    </w:rPr>
                  </w:pPr>
                  <w:r w:rsidRPr="00036C4D">
                    <w:rPr>
                      <w:rFonts w:ascii="Gill Sans MT" w:hAnsi="Gill Sans MT"/>
                    </w:rPr>
                    <w:t xml:space="preserve">On arrival to the Emergency Department (ED), all </w:t>
                  </w:r>
                  <w:r>
                    <w:rPr>
                      <w:rFonts w:ascii="Gill Sans MT" w:hAnsi="Gill Sans MT"/>
                    </w:rPr>
                    <w:t>patients will be seen within 30 </w:t>
                  </w:r>
                  <w:r w:rsidRPr="00036C4D">
                    <w:rPr>
                      <w:rFonts w:ascii="Gill Sans MT" w:hAnsi="Gill Sans MT"/>
                    </w:rPr>
                    <w:t>minutes by a member of an interdisciplinary team, led by the ED Team Leader, who will initiate assessment, investigations and treatment.</w:t>
                  </w:r>
                </w:p>
              </w:tc>
            </w:tr>
            <w:tr w:rsidR="008075E2" w:rsidRPr="00036C4D" w:rsidTr="00517474">
              <w:trPr>
                <w:trHeight w:val="1082"/>
              </w:trPr>
              <w:tc>
                <w:tcPr>
                  <w:tcW w:w="1860" w:type="dxa"/>
                  <w:tcBorders>
                    <w:top w:val="nil"/>
                    <w:left w:val="nil"/>
                    <w:bottom w:val="nil"/>
                    <w:right w:val="nil"/>
                  </w:tcBorders>
                  <w:shd w:val="clear" w:color="auto" w:fill="365F91"/>
                  <w:tcMar>
                    <w:top w:w="15" w:type="dxa"/>
                    <w:left w:w="88" w:type="dxa"/>
                    <w:bottom w:w="0" w:type="dxa"/>
                    <w:right w:w="88" w:type="dxa"/>
                  </w:tcMar>
                  <w:hideMark/>
                </w:tcPr>
                <w:p w:rsidR="0025319F" w:rsidRPr="0025319F" w:rsidRDefault="008075E2" w:rsidP="008075E2">
                  <w:pPr>
                    <w:rPr>
                      <w:rFonts w:ascii="Gill Sans MT" w:hAnsi="Gill Sans MT"/>
                      <w:color w:val="FFFFFF" w:themeColor="background1"/>
                    </w:rPr>
                  </w:pPr>
                  <w:r w:rsidRPr="0025319F">
                    <w:rPr>
                      <w:rFonts w:ascii="Gill Sans MT" w:hAnsi="Gill Sans MT"/>
                      <w:b/>
                      <w:bCs/>
                      <w:color w:val="FFFFFF" w:themeColor="background1"/>
                    </w:rPr>
                    <w:t>Principle 2</w:t>
                  </w:r>
                </w:p>
                <w:p w:rsidR="0025319F" w:rsidRPr="0025319F" w:rsidRDefault="0025319F" w:rsidP="0025319F">
                  <w:pPr>
                    <w:rPr>
                      <w:rFonts w:ascii="Gill Sans MT" w:hAnsi="Gill Sans MT"/>
                    </w:rPr>
                  </w:pPr>
                </w:p>
                <w:p w:rsidR="008075E2" w:rsidRPr="0025319F" w:rsidRDefault="008075E2" w:rsidP="0025319F">
                  <w:pPr>
                    <w:rPr>
                      <w:rFonts w:ascii="Gill Sans MT" w:hAnsi="Gill Sans MT"/>
                    </w:rPr>
                  </w:pPr>
                </w:p>
              </w:tc>
              <w:tc>
                <w:tcPr>
                  <w:tcW w:w="7954" w:type="dxa"/>
                  <w:tcBorders>
                    <w:top w:val="nil"/>
                    <w:left w:val="nil"/>
                    <w:bottom w:val="nil"/>
                    <w:right w:val="nil"/>
                  </w:tcBorders>
                  <w:shd w:val="clear" w:color="auto" w:fill="365F91"/>
                  <w:tcMar>
                    <w:top w:w="15" w:type="dxa"/>
                    <w:left w:w="88" w:type="dxa"/>
                    <w:bottom w:w="0" w:type="dxa"/>
                    <w:right w:w="88" w:type="dxa"/>
                  </w:tcMar>
                  <w:hideMark/>
                </w:tcPr>
                <w:p w:rsidR="008075E2" w:rsidRPr="00317656" w:rsidRDefault="008075E2" w:rsidP="008075E2">
                  <w:pPr>
                    <w:rPr>
                      <w:rFonts w:ascii="Gill Sans MT" w:hAnsi="Gill Sans MT"/>
                      <w:color w:val="FFFFFF"/>
                    </w:rPr>
                  </w:pPr>
                  <w:r>
                    <w:rPr>
                      <w:rFonts w:ascii="Gill Sans MT" w:hAnsi="Gill Sans MT"/>
                      <w:color w:val="FFFFFF"/>
                    </w:rPr>
                    <w:t>Within two</w:t>
                  </w:r>
                  <w:r w:rsidRPr="00317656">
                    <w:rPr>
                      <w:rFonts w:ascii="Gill Sans MT" w:hAnsi="Gill Sans MT"/>
                      <w:color w:val="FFFFFF"/>
                    </w:rPr>
                    <w:t xml:space="preserve"> hours of triage a decision will be made by the ED Team Leader to discharge or admit the patient, in accordance with endorsed admission guidelines.</w:t>
                  </w:r>
                </w:p>
              </w:tc>
            </w:tr>
            <w:tr w:rsidR="008075E2" w:rsidRPr="00036C4D" w:rsidTr="00517474">
              <w:trPr>
                <w:trHeight w:val="721"/>
              </w:trPr>
              <w:tc>
                <w:tcPr>
                  <w:tcW w:w="1860" w:type="dxa"/>
                  <w:tcBorders>
                    <w:top w:val="nil"/>
                    <w:left w:val="nil"/>
                    <w:bottom w:val="nil"/>
                    <w:right w:val="nil"/>
                  </w:tcBorders>
                  <w:shd w:val="clear" w:color="auto" w:fill="003041"/>
                  <w:tcMar>
                    <w:top w:w="15" w:type="dxa"/>
                    <w:left w:w="88" w:type="dxa"/>
                    <w:bottom w:w="0" w:type="dxa"/>
                    <w:right w:w="88" w:type="dxa"/>
                  </w:tcMar>
                  <w:hideMark/>
                </w:tcPr>
                <w:p w:rsidR="008075E2" w:rsidRPr="00036C4D" w:rsidRDefault="008075E2" w:rsidP="008075E2">
                  <w:pPr>
                    <w:rPr>
                      <w:rFonts w:ascii="Gill Sans MT" w:hAnsi="Gill Sans MT"/>
                    </w:rPr>
                  </w:pPr>
                  <w:r w:rsidRPr="00036C4D">
                    <w:rPr>
                      <w:rFonts w:ascii="Gill Sans MT" w:hAnsi="Gill Sans MT"/>
                      <w:b/>
                      <w:bCs/>
                    </w:rPr>
                    <w:t>Principle 3</w:t>
                  </w:r>
                </w:p>
              </w:tc>
              <w:tc>
                <w:tcPr>
                  <w:tcW w:w="7954" w:type="dxa"/>
                  <w:tcBorders>
                    <w:top w:val="nil"/>
                    <w:left w:val="nil"/>
                    <w:bottom w:val="nil"/>
                    <w:right w:val="nil"/>
                  </w:tcBorders>
                  <w:shd w:val="clear" w:color="auto" w:fill="003041"/>
                  <w:tcMar>
                    <w:top w:w="15" w:type="dxa"/>
                    <w:left w:w="88" w:type="dxa"/>
                    <w:bottom w:w="0" w:type="dxa"/>
                    <w:right w:w="88" w:type="dxa"/>
                  </w:tcMar>
                  <w:hideMark/>
                </w:tcPr>
                <w:p w:rsidR="008075E2" w:rsidRPr="00036C4D" w:rsidRDefault="008075E2" w:rsidP="008075E2">
                  <w:pPr>
                    <w:rPr>
                      <w:rFonts w:ascii="Gill Sans MT" w:hAnsi="Gill Sans MT"/>
                    </w:rPr>
                  </w:pPr>
                  <w:r w:rsidRPr="00036C4D">
                    <w:rPr>
                      <w:rFonts w:ascii="Gill Sans MT" w:hAnsi="Gill Sans MT"/>
                    </w:rPr>
                    <w:t>Patients will be reviewe</w:t>
                  </w:r>
                  <w:r>
                    <w:rPr>
                      <w:rFonts w:ascii="Gill Sans MT" w:hAnsi="Gill Sans MT"/>
                    </w:rPr>
                    <w:t>d by the inpatient team within one</w:t>
                  </w:r>
                  <w:r w:rsidRPr="00036C4D">
                    <w:rPr>
                      <w:rFonts w:ascii="Gill Sans MT" w:hAnsi="Gill Sans MT"/>
                    </w:rPr>
                    <w:t xml:space="preserve"> hour of being referred for admission.</w:t>
                  </w:r>
                </w:p>
              </w:tc>
            </w:tr>
            <w:tr w:rsidR="008075E2" w:rsidRPr="00036C4D" w:rsidTr="00517474">
              <w:trPr>
                <w:trHeight w:val="721"/>
              </w:trPr>
              <w:tc>
                <w:tcPr>
                  <w:tcW w:w="1860" w:type="dxa"/>
                  <w:tcBorders>
                    <w:top w:val="nil"/>
                    <w:left w:val="nil"/>
                    <w:bottom w:val="nil"/>
                    <w:right w:val="nil"/>
                  </w:tcBorders>
                  <w:shd w:val="clear" w:color="auto" w:fill="365F91"/>
                  <w:tcMar>
                    <w:top w:w="15" w:type="dxa"/>
                    <w:left w:w="88" w:type="dxa"/>
                    <w:bottom w:w="0" w:type="dxa"/>
                    <w:right w:w="88" w:type="dxa"/>
                  </w:tcMar>
                  <w:hideMark/>
                </w:tcPr>
                <w:p w:rsidR="008075E2" w:rsidRPr="0025319F" w:rsidRDefault="008075E2" w:rsidP="008075E2">
                  <w:pPr>
                    <w:rPr>
                      <w:rFonts w:ascii="Gill Sans MT" w:hAnsi="Gill Sans MT"/>
                      <w:color w:val="FFFFFF" w:themeColor="background1"/>
                    </w:rPr>
                  </w:pPr>
                  <w:r w:rsidRPr="0025319F">
                    <w:rPr>
                      <w:rFonts w:ascii="Gill Sans MT" w:hAnsi="Gill Sans MT"/>
                      <w:b/>
                      <w:bCs/>
                      <w:color w:val="FFFFFF" w:themeColor="background1"/>
                    </w:rPr>
                    <w:t>Principle 4</w:t>
                  </w:r>
                </w:p>
              </w:tc>
              <w:tc>
                <w:tcPr>
                  <w:tcW w:w="7954" w:type="dxa"/>
                  <w:tcBorders>
                    <w:top w:val="nil"/>
                    <w:left w:val="nil"/>
                    <w:bottom w:val="nil"/>
                    <w:right w:val="nil"/>
                  </w:tcBorders>
                  <w:shd w:val="clear" w:color="auto" w:fill="365F91"/>
                  <w:tcMar>
                    <w:top w:w="15" w:type="dxa"/>
                    <w:left w:w="88" w:type="dxa"/>
                    <w:bottom w:w="0" w:type="dxa"/>
                    <w:right w:w="88" w:type="dxa"/>
                  </w:tcMar>
                  <w:hideMark/>
                </w:tcPr>
                <w:p w:rsidR="008075E2" w:rsidRPr="00317656" w:rsidRDefault="008075E2" w:rsidP="008075E2">
                  <w:pPr>
                    <w:rPr>
                      <w:rFonts w:ascii="Gill Sans MT" w:hAnsi="Gill Sans MT"/>
                      <w:color w:val="FFFFFF"/>
                    </w:rPr>
                  </w:pPr>
                  <w:r w:rsidRPr="00317656">
                    <w:rPr>
                      <w:rFonts w:ascii="Gill Sans MT" w:hAnsi="Gill Sans MT"/>
                      <w:color w:val="FFFFFF"/>
                    </w:rPr>
                    <w:t>Patients will be admitted to a bed in the most appropriate clinical place, the first time.</w:t>
                  </w:r>
                </w:p>
              </w:tc>
            </w:tr>
            <w:tr w:rsidR="008075E2" w:rsidRPr="00036C4D" w:rsidTr="00517474">
              <w:trPr>
                <w:trHeight w:val="1443"/>
              </w:trPr>
              <w:tc>
                <w:tcPr>
                  <w:tcW w:w="1860" w:type="dxa"/>
                  <w:tcBorders>
                    <w:top w:val="nil"/>
                    <w:left w:val="nil"/>
                    <w:bottom w:val="nil"/>
                    <w:right w:val="nil"/>
                  </w:tcBorders>
                  <w:shd w:val="clear" w:color="auto" w:fill="003041"/>
                  <w:tcMar>
                    <w:top w:w="15" w:type="dxa"/>
                    <w:left w:w="88" w:type="dxa"/>
                    <w:bottom w:w="0" w:type="dxa"/>
                    <w:right w:w="88" w:type="dxa"/>
                  </w:tcMar>
                  <w:hideMark/>
                </w:tcPr>
                <w:p w:rsidR="008075E2" w:rsidRPr="00036C4D" w:rsidRDefault="008075E2" w:rsidP="008075E2">
                  <w:pPr>
                    <w:rPr>
                      <w:rFonts w:ascii="Gill Sans MT" w:hAnsi="Gill Sans MT"/>
                    </w:rPr>
                  </w:pPr>
                  <w:r w:rsidRPr="00036C4D">
                    <w:rPr>
                      <w:rFonts w:ascii="Gill Sans MT" w:hAnsi="Gill Sans MT"/>
                      <w:b/>
                      <w:bCs/>
                    </w:rPr>
                    <w:t>Principle 5</w:t>
                  </w:r>
                </w:p>
              </w:tc>
              <w:tc>
                <w:tcPr>
                  <w:tcW w:w="7954" w:type="dxa"/>
                  <w:tcBorders>
                    <w:top w:val="nil"/>
                    <w:left w:val="nil"/>
                    <w:bottom w:val="nil"/>
                    <w:right w:val="nil"/>
                  </w:tcBorders>
                  <w:shd w:val="clear" w:color="auto" w:fill="003041"/>
                  <w:tcMar>
                    <w:top w:w="15" w:type="dxa"/>
                    <w:left w:w="88" w:type="dxa"/>
                    <w:bottom w:w="0" w:type="dxa"/>
                    <w:right w:w="88" w:type="dxa"/>
                  </w:tcMar>
                  <w:hideMark/>
                </w:tcPr>
                <w:p w:rsidR="008075E2" w:rsidRPr="00036C4D" w:rsidRDefault="008075E2" w:rsidP="008075E2">
                  <w:pPr>
                    <w:rPr>
                      <w:rFonts w:ascii="Gill Sans MT" w:hAnsi="Gill Sans MT"/>
                    </w:rPr>
                  </w:pPr>
                  <w:r w:rsidRPr="00036C4D">
                    <w:rPr>
                      <w:rFonts w:ascii="Gill Sans MT" w:hAnsi="Gill Sans MT"/>
                    </w:rPr>
                    <w:t>Patients will have their initial investigations, consultations and interventions performed as soon as possible, in order of request or clinical priority, and in no longer than 24 hours post admission.</w:t>
                  </w:r>
                </w:p>
              </w:tc>
            </w:tr>
            <w:tr w:rsidR="008075E2" w:rsidRPr="00036C4D" w:rsidTr="00517474">
              <w:trPr>
                <w:trHeight w:val="1443"/>
              </w:trPr>
              <w:tc>
                <w:tcPr>
                  <w:tcW w:w="1860" w:type="dxa"/>
                  <w:tcBorders>
                    <w:top w:val="nil"/>
                    <w:left w:val="nil"/>
                    <w:bottom w:val="nil"/>
                    <w:right w:val="nil"/>
                  </w:tcBorders>
                  <w:shd w:val="clear" w:color="auto" w:fill="365F91"/>
                  <w:tcMar>
                    <w:top w:w="15" w:type="dxa"/>
                    <w:left w:w="88" w:type="dxa"/>
                    <w:bottom w:w="0" w:type="dxa"/>
                    <w:right w:w="88" w:type="dxa"/>
                  </w:tcMar>
                  <w:hideMark/>
                </w:tcPr>
                <w:p w:rsidR="008075E2" w:rsidRPr="0025319F" w:rsidRDefault="008075E2" w:rsidP="008075E2">
                  <w:pPr>
                    <w:rPr>
                      <w:rFonts w:ascii="Gill Sans MT" w:hAnsi="Gill Sans MT"/>
                      <w:color w:val="FFFFFF" w:themeColor="background1"/>
                    </w:rPr>
                  </w:pPr>
                  <w:r w:rsidRPr="0025319F">
                    <w:rPr>
                      <w:rFonts w:ascii="Gill Sans MT" w:hAnsi="Gill Sans MT"/>
                      <w:b/>
                      <w:bCs/>
                      <w:color w:val="FFFFFF" w:themeColor="background1"/>
                    </w:rPr>
                    <w:t>Principle 6</w:t>
                  </w:r>
                </w:p>
              </w:tc>
              <w:tc>
                <w:tcPr>
                  <w:tcW w:w="7954" w:type="dxa"/>
                  <w:tcBorders>
                    <w:top w:val="nil"/>
                    <w:left w:val="nil"/>
                    <w:bottom w:val="nil"/>
                    <w:right w:val="nil"/>
                  </w:tcBorders>
                  <w:shd w:val="clear" w:color="auto" w:fill="365F91"/>
                  <w:tcMar>
                    <w:top w:w="15" w:type="dxa"/>
                    <w:left w:w="88" w:type="dxa"/>
                    <w:bottom w:w="0" w:type="dxa"/>
                    <w:right w:w="88" w:type="dxa"/>
                  </w:tcMar>
                  <w:hideMark/>
                </w:tcPr>
                <w:p w:rsidR="008075E2" w:rsidRPr="00317656" w:rsidRDefault="008075E2" w:rsidP="008075E2">
                  <w:pPr>
                    <w:rPr>
                      <w:rFonts w:ascii="Gill Sans MT" w:hAnsi="Gill Sans MT"/>
                      <w:color w:val="FFFFFF"/>
                    </w:rPr>
                  </w:pPr>
                  <w:r w:rsidRPr="00317656">
                    <w:rPr>
                      <w:rFonts w:ascii="Gill Sans MT" w:hAnsi="Gill Sans MT"/>
                      <w:color w:val="FFFFFF"/>
                    </w:rPr>
                    <w:t xml:space="preserve">Patients will be reviewed daily by a senior decision-making clinician, and patients and their carers will be actively engaged in their care, to help ensure they are in hospital for only </w:t>
                  </w:r>
                  <w:proofErr w:type="gramStart"/>
                  <w:r w:rsidRPr="00317656">
                    <w:rPr>
                      <w:rFonts w:ascii="Gill Sans MT" w:hAnsi="Gill Sans MT"/>
                      <w:color w:val="FFFFFF"/>
                    </w:rPr>
                    <w:t>as long as</w:t>
                  </w:r>
                  <w:proofErr w:type="gramEnd"/>
                  <w:r w:rsidRPr="00317656">
                    <w:rPr>
                      <w:rFonts w:ascii="Gill Sans MT" w:hAnsi="Gill Sans MT"/>
                      <w:color w:val="FFFFFF"/>
                    </w:rPr>
                    <w:t xml:space="preserve"> is clinically necessary.</w:t>
                  </w:r>
                </w:p>
              </w:tc>
            </w:tr>
          </w:tbl>
          <w:p w:rsidR="008075E2" w:rsidRPr="00317656" w:rsidRDefault="008075E2" w:rsidP="008075E2">
            <w:pPr>
              <w:rPr>
                <w:rFonts w:ascii="Gill Sans MT" w:hAnsi="Gill Sans MT"/>
              </w:rPr>
            </w:pPr>
          </w:p>
        </w:tc>
      </w:tr>
      <w:tr w:rsidR="008075E2" w:rsidRPr="00317656" w:rsidTr="0025319F">
        <w:tc>
          <w:tcPr>
            <w:tcW w:w="755" w:type="pct"/>
            <w:shd w:val="clear" w:color="auto" w:fill="F2F2F2" w:themeFill="background1" w:themeFillShade="F2"/>
          </w:tcPr>
          <w:p w:rsidR="008075E2" w:rsidRPr="00317656" w:rsidRDefault="008075E2" w:rsidP="008075E2">
            <w:pPr>
              <w:rPr>
                <w:rFonts w:ascii="Gill Sans MT" w:hAnsi="Gill Sans MT"/>
                <w:b/>
              </w:rPr>
            </w:pPr>
            <w:r w:rsidRPr="00317656">
              <w:rPr>
                <w:rFonts w:ascii="Gill Sans MT" w:hAnsi="Gill Sans MT"/>
                <w:b/>
              </w:rPr>
              <w:lastRenderedPageBreak/>
              <w:t>Engagement of Private Hospitals</w:t>
            </w:r>
          </w:p>
        </w:tc>
        <w:tc>
          <w:tcPr>
            <w:tcW w:w="4245" w:type="pct"/>
            <w:shd w:val="clear" w:color="auto" w:fill="auto"/>
          </w:tcPr>
          <w:p w:rsidR="008075E2" w:rsidRPr="00317656" w:rsidRDefault="008075E2" w:rsidP="008075E2">
            <w:pPr>
              <w:rPr>
                <w:rFonts w:ascii="Gill Sans MT" w:hAnsi="Gill Sans MT"/>
              </w:rPr>
            </w:pPr>
            <w:r w:rsidRPr="00317656">
              <w:rPr>
                <w:rFonts w:ascii="Gill Sans MT" w:hAnsi="Gill Sans MT"/>
              </w:rPr>
              <w:t>Convene a working group with the private hospitals to establish a formal interface between the public and private hospitals.</w:t>
            </w:r>
          </w:p>
        </w:tc>
      </w:tr>
      <w:tr w:rsidR="008075E2" w:rsidRPr="00317656" w:rsidTr="0025319F">
        <w:tc>
          <w:tcPr>
            <w:tcW w:w="755" w:type="pct"/>
            <w:shd w:val="clear" w:color="auto" w:fill="F2F2F2" w:themeFill="background1" w:themeFillShade="F2"/>
          </w:tcPr>
          <w:p w:rsidR="008075E2" w:rsidRPr="00317656" w:rsidRDefault="008075E2" w:rsidP="008075E2">
            <w:pPr>
              <w:rPr>
                <w:rFonts w:ascii="Gill Sans MT" w:hAnsi="Gill Sans MT"/>
                <w:b/>
              </w:rPr>
            </w:pPr>
            <w:r>
              <w:rPr>
                <w:rFonts w:ascii="Gill Sans MT" w:hAnsi="Gill Sans MT"/>
                <w:b/>
              </w:rPr>
              <w:t>Long Stay</w:t>
            </w:r>
          </w:p>
        </w:tc>
        <w:tc>
          <w:tcPr>
            <w:tcW w:w="4245" w:type="pct"/>
            <w:shd w:val="clear" w:color="auto" w:fill="auto"/>
          </w:tcPr>
          <w:p w:rsidR="008075E2" w:rsidRPr="00317656" w:rsidRDefault="008075E2" w:rsidP="008075E2">
            <w:pPr>
              <w:rPr>
                <w:rFonts w:ascii="Gill Sans MT" w:hAnsi="Gill Sans MT"/>
              </w:rPr>
            </w:pPr>
            <w:r>
              <w:rPr>
                <w:rFonts w:ascii="Gill Sans MT" w:hAnsi="Gill Sans MT"/>
              </w:rPr>
              <w:t>Implement</w:t>
            </w:r>
            <w:r w:rsidRPr="00317656">
              <w:rPr>
                <w:rFonts w:ascii="Gill Sans MT" w:hAnsi="Gill Sans MT"/>
              </w:rPr>
              <w:t xml:space="preserve"> a long</w:t>
            </w:r>
            <w:r>
              <w:rPr>
                <w:rFonts w:ascii="Gill Sans MT" w:hAnsi="Gill Sans MT"/>
              </w:rPr>
              <w:t xml:space="preserve"> </w:t>
            </w:r>
            <w:r w:rsidRPr="00317656">
              <w:rPr>
                <w:rFonts w:ascii="Gill Sans MT" w:hAnsi="Gill Sans MT"/>
              </w:rPr>
              <w:t xml:space="preserve">stay review committee to </w:t>
            </w:r>
            <w:r>
              <w:rPr>
                <w:rFonts w:ascii="Gill Sans MT" w:hAnsi="Gill Sans MT"/>
              </w:rPr>
              <w:t>identify opportunities for a streamlined, safe discharge of patients with excessive length of stay.</w:t>
            </w:r>
          </w:p>
        </w:tc>
      </w:tr>
    </w:tbl>
    <w:p w:rsidR="00DA579A" w:rsidRDefault="00DA579A"/>
    <w:p w:rsidR="00DE5014" w:rsidRDefault="00DE5014" w:rsidP="00DE5014">
      <w:pPr>
        <w:pStyle w:val="Heading1"/>
        <w:jc w:val="right"/>
      </w:pPr>
    </w:p>
    <w:p w:rsidR="004B7EFA" w:rsidRPr="0035792D" w:rsidRDefault="0025319F" w:rsidP="0035792D">
      <w:pPr>
        <w:pStyle w:val="Heading1"/>
      </w:pPr>
      <w:r w:rsidRPr="00DE5014">
        <w:br w:type="page"/>
      </w:r>
      <w:r w:rsidR="004B7EFA" w:rsidRPr="0035792D">
        <w:lastRenderedPageBreak/>
        <w:t>Short terms action (before end</w:t>
      </w:r>
      <w:r w:rsidR="00B6200D" w:rsidRPr="0035792D">
        <w:t xml:space="preserve"> of</w:t>
      </w:r>
      <w:r w:rsidR="004B7EFA" w:rsidRPr="0035792D">
        <w:t xml:space="preserve"> July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1842"/>
      </w:tblGrid>
      <w:tr w:rsidR="00EA281D" w:rsidRPr="0025319F" w:rsidTr="0025319F">
        <w:trPr>
          <w:tblHeader/>
        </w:trPr>
        <w:tc>
          <w:tcPr>
            <w:tcW w:w="755" w:type="pct"/>
            <w:shd w:val="clear" w:color="auto" w:fill="2E74B5"/>
          </w:tcPr>
          <w:p w:rsidR="00EA281D" w:rsidRPr="0025319F" w:rsidRDefault="00EA281D" w:rsidP="004957BB">
            <w:pPr>
              <w:rPr>
                <w:rFonts w:ascii="Gill Sans MT" w:hAnsi="Gill Sans MT"/>
                <w:b/>
                <w:color w:val="FFFFFF" w:themeColor="background1"/>
                <w:sz w:val="28"/>
              </w:rPr>
            </w:pPr>
            <w:r w:rsidRPr="0025319F">
              <w:rPr>
                <w:rFonts w:ascii="Gill Sans MT" w:hAnsi="Gill Sans MT"/>
                <w:b/>
                <w:color w:val="FFFFFF" w:themeColor="background1"/>
                <w:sz w:val="28"/>
              </w:rPr>
              <w:t>Focus</w:t>
            </w:r>
          </w:p>
        </w:tc>
        <w:tc>
          <w:tcPr>
            <w:tcW w:w="4245" w:type="pct"/>
            <w:shd w:val="clear" w:color="auto" w:fill="2E74B5"/>
          </w:tcPr>
          <w:p w:rsidR="00EA281D" w:rsidRPr="0025319F" w:rsidRDefault="00EA281D" w:rsidP="004957BB">
            <w:pPr>
              <w:rPr>
                <w:rFonts w:ascii="Gill Sans MT" w:hAnsi="Gill Sans MT"/>
                <w:b/>
                <w:color w:val="FFFFFF" w:themeColor="background1"/>
                <w:sz w:val="28"/>
              </w:rPr>
            </w:pPr>
            <w:r w:rsidRPr="0025319F">
              <w:rPr>
                <w:rFonts w:ascii="Gill Sans MT" w:hAnsi="Gill Sans MT"/>
                <w:b/>
                <w:color w:val="FFFFFF" w:themeColor="background1"/>
                <w:sz w:val="28"/>
              </w:rPr>
              <w:t>Action</w:t>
            </w:r>
          </w:p>
        </w:tc>
      </w:tr>
      <w:tr w:rsidR="00EA281D" w:rsidRPr="00317656" w:rsidTr="0025319F">
        <w:tc>
          <w:tcPr>
            <w:tcW w:w="755" w:type="pct"/>
            <w:shd w:val="clear" w:color="auto" w:fill="F2F2F2" w:themeFill="background1" w:themeFillShade="F2"/>
          </w:tcPr>
          <w:p w:rsidR="00EA281D" w:rsidRPr="00317656" w:rsidRDefault="00EA281D" w:rsidP="006642E3">
            <w:pPr>
              <w:rPr>
                <w:rFonts w:ascii="Gill Sans MT" w:hAnsi="Gill Sans MT"/>
                <w:b/>
              </w:rPr>
            </w:pPr>
            <w:r>
              <w:rPr>
                <w:rFonts w:ascii="Gill Sans MT" w:hAnsi="Gill Sans MT"/>
                <w:b/>
              </w:rPr>
              <w:t>K-Block</w:t>
            </w:r>
          </w:p>
        </w:tc>
        <w:tc>
          <w:tcPr>
            <w:tcW w:w="4245" w:type="pct"/>
            <w:shd w:val="clear" w:color="auto" w:fill="auto"/>
          </w:tcPr>
          <w:p w:rsidR="00EA281D" w:rsidRPr="00317656" w:rsidRDefault="00EA281D" w:rsidP="004C21E9">
            <w:pPr>
              <w:rPr>
                <w:rFonts w:ascii="Gill Sans MT" w:hAnsi="Gill Sans MT"/>
              </w:rPr>
            </w:pPr>
            <w:r w:rsidRPr="00AD712B">
              <w:rPr>
                <w:rFonts w:ascii="Gill Sans MT" w:hAnsi="Gill Sans MT"/>
              </w:rPr>
              <w:t xml:space="preserve">Develop a plan for the number and type of additional beds that should open immediately on the commissioning of K-Block – on top of the existing beds </w:t>
            </w:r>
            <w:r>
              <w:rPr>
                <w:rFonts w:ascii="Gill Sans MT" w:hAnsi="Gill Sans MT"/>
              </w:rPr>
              <w:t>that transfer into the facility</w:t>
            </w:r>
            <w:r w:rsidRPr="00AD712B">
              <w:rPr>
                <w:rFonts w:ascii="Gill Sans MT" w:hAnsi="Gill Sans MT"/>
              </w:rPr>
              <w:t>.</w:t>
            </w:r>
          </w:p>
        </w:tc>
      </w:tr>
      <w:tr w:rsidR="00EA281D" w:rsidRPr="00317656" w:rsidTr="0025319F">
        <w:tc>
          <w:tcPr>
            <w:tcW w:w="755" w:type="pct"/>
            <w:shd w:val="clear" w:color="auto" w:fill="F2F2F2" w:themeFill="background1" w:themeFillShade="F2"/>
          </w:tcPr>
          <w:p w:rsidR="00EA281D" w:rsidRPr="00317656" w:rsidRDefault="00EA281D" w:rsidP="006642E3">
            <w:pPr>
              <w:rPr>
                <w:rFonts w:ascii="Gill Sans MT" w:hAnsi="Gill Sans MT"/>
                <w:b/>
              </w:rPr>
            </w:pPr>
            <w:r w:rsidRPr="00317656">
              <w:rPr>
                <w:rFonts w:ascii="Gill Sans MT" w:hAnsi="Gill Sans MT"/>
                <w:b/>
              </w:rPr>
              <w:t>Admission Improvements</w:t>
            </w:r>
          </w:p>
        </w:tc>
        <w:tc>
          <w:tcPr>
            <w:tcW w:w="4245" w:type="pct"/>
            <w:shd w:val="clear" w:color="auto" w:fill="auto"/>
          </w:tcPr>
          <w:p w:rsidR="00EA281D" w:rsidRPr="00317656" w:rsidRDefault="00EA281D" w:rsidP="0034724F">
            <w:pPr>
              <w:rPr>
                <w:rFonts w:ascii="Gill Sans MT" w:hAnsi="Gill Sans MT"/>
              </w:rPr>
            </w:pPr>
            <w:r w:rsidRPr="00317656">
              <w:rPr>
                <w:rFonts w:ascii="Gill Sans MT" w:hAnsi="Gill Sans MT"/>
              </w:rPr>
              <w:t xml:space="preserve">Implement </w:t>
            </w:r>
            <w:r>
              <w:rPr>
                <w:rFonts w:ascii="Gill Sans MT" w:hAnsi="Gill Sans MT"/>
              </w:rPr>
              <w:t xml:space="preserve">ED decision-to-admit authority, interim management plans, </w:t>
            </w:r>
            <w:r w:rsidRPr="00317656">
              <w:rPr>
                <w:rFonts w:ascii="Gill Sans MT" w:hAnsi="Gill Sans MT"/>
              </w:rPr>
              <w:t xml:space="preserve">one-way referral, </w:t>
            </w:r>
            <w:r>
              <w:rPr>
                <w:rFonts w:ascii="Gill Sans MT" w:hAnsi="Gill Sans MT"/>
              </w:rPr>
              <w:t>and no</w:t>
            </w:r>
            <w:r w:rsidRPr="00317656">
              <w:rPr>
                <w:rFonts w:ascii="Gill Sans MT" w:hAnsi="Gill Sans MT"/>
              </w:rPr>
              <w:t xml:space="preserve"> right</w:t>
            </w:r>
            <w:r>
              <w:rPr>
                <w:rFonts w:ascii="Gill Sans MT" w:hAnsi="Gill Sans MT"/>
              </w:rPr>
              <w:t>-</w:t>
            </w:r>
            <w:r w:rsidRPr="00317656">
              <w:rPr>
                <w:rFonts w:ascii="Gill Sans MT" w:hAnsi="Gill Sans MT"/>
              </w:rPr>
              <w:t>of</w:t>
            </w:r>
            <w:r>
              <w:rPr>
                <w:rFonts w:ascii="Gill Sans MT" w:hAnsi="Gill Sans MT"/>
              </w:rPr>
              <w:t>-</w:t>
            </w:r>
            <w:r w:rsidRPr="00317656">
              <w:rPr>
                <w:rFonts w:ascii="Gill Sans MT" w:hAnsi="Gill Sans MT"/>
              </w:rPr>
              <w:t>refusal</w:t>
            </w:r>
            <w:r>
              <w:rPr>
                <w:rFonts w:ascii="Gill Sans MT" w:hAnsi="Gill Sans MT"/>
              </w:rPr>
              <w:t>,</w:t>
            </w:r>
            <w:r w:rsidRPr="00317656">
              <w:rPr>
                <w:rFonts w:ascii="Gill Sans MT" w:hAnsi="Gill Sans MT"/>
              </w:rPr>
              <w:t xml:space="preserve"> </w:t>
            </w:r>
            <w:r>
              <w:rPr>
                <w:rFonts w:ascii="Gill Sans MT" w:hAnsi="Gill Sans MT"/>
              </w:rPr>
              <w:t>to facilitate rapid transfer of ED patients to ward beds when available</w:t>
            </w:r>
            <w:r w:rsidRPr="00317656">
              <w:rPr>
                <w:rFonts w:ascii="Gill Sans MT" w:hAnsi="Gill Sans MT"/>
              </w:rPr>
              <w:t>.</w:t>
            </w:r>
          </w:p>
          <w:p w:rsidR="00EA281D" w:rsidRPr="00317656" w:rsidRDefault="00EA281D" w:rsidP="0034724F">
            <w:pPr>
              <w:rPr>
                <w:rFonts w:ascii="Gill Sans MT" w:hAnsi="Gill Sans MT"/>
              </w:rPr>
            </w:pPr>
            <w:r>
              <w:rPr>
                <w:rFonts w:ascii="Gill Sans MT" w:hAnsi="Gill Sans MT"/>
              </w:rPr>
              <w:t>Develop and implement policy to mandate entry of an Estimated Date of Discharge for all patients within 24 hours of admission, to enable real time identification and retrospective analysis of patients staying longer than clinically expected.</w:t>
            </w:r>
          </w:p>
          <w:p w:rsidR="00EA281D" w:rsidRPr="00317656" w:rsidRDefault="00EA281D" w:rsidP="006E1F8D">
            <w:pPr>
              <w:rPr>
                <w:rFonts w:ascii="Gill Sans MT" w:hAnsi="Gill Sans MT"/>
              </w:rPr>
            </w:pPr>
            <w:r w:rsidRPr="00317656">
              <w:rPr>
                <w:rFonts w:ascii="Gill Sans MT" w:hAnsi="Gill Sans MT"/>
              </w:rPr>
              <w:t>Develop an accountability and authority framework for ea</w:t>
            </w:r>
            <w:r>
              <w:rPr>
                <w:rFonts w:ascii="Gill Sans MT" w:hAnsi="Gill Sans MT"/>
              </w:rPr>
              <w:t>ch part of the patient journey.</w:t>
            </w:r>
          </w:p>
        </w:tc>
      </w:tr>
      <w:tr w:rsidR="00EA281D" w:rsidRPr="00317656" w:rsidTr="0025319F">
        <w:tc>
          <w:tcPr>
            <w:tcW w:w="755"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Communications and Engagement</w:t>
            </w:r>
          </w:p>
        </w:tc>
        <w:tc>
          <w:tcPr>
            <w:tcW w:w="4245" w:type="pct"/>
            <w:shd w:val="clear" w:color="auto" w:fill="auto"/>
          </w:tcPr>
          <w:p w:rsidR="00EA281D" w:rsidRPr="00317656" w:rsidRDefault="00EA281D" w:rsidP="00F077BC">
            <w:pPr>
              <w:rPr>
                <w:rFonts w:ascii="Gill Sans MT" w:hAnsi="Gill Sans MT"/>
              </w:rPr>
            </w:pPr>
            <w:r w:rsidRPr="00317656">
              <w:rPr>
                <w:rFonts w:ascii="Gill Sans MT" w:hAnsi="Gill Sans MT"/>
              </w:rPr>
              <w:t>Develop a community/internal and external focussed communications program to support patient flow</w:t>
            </w:r>
            <w:r>
              <w:rPr>
                <w:rFonts w:ascii="Gill Sans MT" w:hAnsi="Gill Sans MT"/>
              </w:rPr>
              <w:t xml:space="preserve"> in partnership with key stakeholders including PHT</w:t>
            </w:r>
            <w:r w:rsidRPr="00317656">
              <w:rPr>
                <w:rFonts w:ascii="Gill Sans MT" w:hAnsi="Gill Sans MT"/>
              </w:rPr>
              <w:t>.</w:t>
            </w:r>
          </w:p>
          <w:p w:rsidR="00EA281D" w:rsidRPr="00317656" w:rsidRDefault="00EA281D" w:rsidP="00F077BC">
            <w:pPr>
              <w:rPr>
                <w:rFonts w:ascii="Gill Sans MT" w:hAnsi="Gill Sans MT"/>
              </w:rPr>
            </w:pPr>
            <w:r w:rsidRPr="00317656">
              <w:rPr>
                <w:rFonts w:ascii="Gill Sans MT" w:hAnsi="Gill Sans MT"/>
              </w:rPr>
              <w:t>Implement weekly emergency department debrief meetings including the relevant clinical staff to improve patient flow.</w:t>
            </w:r>
          </w:p>
          <w:p w:rsidR="00EA281D" w:rsidRPr="00317656" w:rsidRDefault="00EA281D" w:rsidP="0079188A">
            <w:pPr>
              <w:rPr>
                <w:rFonts w:ascii="Gill Sans MT" w:hAnsi="Gill Sans MT"/>
              </w:rPr>
            </w:pPr>
            <w:r w:rsidRPr="00317656">
              <w:rPr>
                <w:rFonts w:ascii="Gill Sans MT" w:hAnsi="Gill Sans MT"/>
              </w:rPr>
              <w:t>Schedule engagement forums to hear staff</w:t>
            </w:r>
            <w:r>
              <w:rPr>
                <w:rFonts w:ascii="Gill Sans MT" w:hAnsi="Gill Sans MT"/>
              </w:rPr>
              <w:t>-</w:t>
            </w:r>
            <w:r w:rsidRPr="00317656">
              <w:rPr>
                <w:rFonts w:ascii="Gill Sans MT" w:hAnsi="Gill Sans MT"/>
              </w:rPr>
              <w:t xml:space="preserve">driven solutions, including </w:t>
            </w:r>
            <w:r>
              <w:rPr>
                <w:rFonts w:ascii="Gill Sans MT" w:hAnsi="Gill Sans MT"/>
              </w:rPr>
              <w:t xml:space="preserve">health </w:t>
            </w:r>
            <w:r w:rsidRPr="00317656">
              <w:rPr>
                <w:rFonts w:ascii="Gill Sans MT" w:hAnsi="Gill Sans MT"/>
              </w:rPr>
              <w:t>professionals and other employees of the hospital</w:t>
            </w:r>
          </w:p>
        </w:tc>
      </w:tr>
      <w:tr w:rsidR="00EA281D" w:rsidRPr="00317656" w:rsidTr="0025319F">
        <w:trPr>
          <w:trHeight w:val="2853"/>
        </w:trPr>
        <w:tc>
          <w:tcPr>
            <w:tcW w:w="755" w:type="pct"/>
            <w:shd w:val="clear" w:color="auto" w:fill="F2F2F2" w:themeFill="background1" w:themeFillShade="F2"/>
          </w:tcPr>
          <w:p w:rsidR="00EA281D" w:rsidRPr="00317656" w:rsidRDefault="00EA281D" w:rsidP="00AD712B">
            <w:pPr>
              <w:rPr>
                <w:rFonts w:ascii="Gill Sans MT" w:hAnsi="Gill Sans MT"/>
                <w:b/>
              </w:rPr>
            </w:pPr>
            <w:r>
              <w:rPr>
                <w:rFonts w:ascii="Gill Sans MT" w:hAnsi="Gill Sans MT"/>
                <w:b/>
              </w:rPr>
              <w:t>Engagement with Key Stakeholders</w:t>
            </w:r>
          </w:p>
        </w:tc>
        <w:tc>
          <w:tcPr>
            <w:tcW w:w="4245" w:type="pct"/>
            <w:shd w:val="clear" w:color="auto" w:fill="auto"/>
          </w:tcPr>
          <w:p w:rsidR="00EA281D" w:rsidRDefault="00EA281D" w:rsidP="004957BB">
            <w:pPr>
              <w:rPr>
                <w:rFonts w:ascii="Gill Sans MT" w:hAnsi="Gill Sans MT"/>
              </w:rPr>
            </w:pPr>
            <w:r w:rsidRPr="00317656">
              <w:rPr>
                <w:rFonts w:ascii="Gill Sans MT" w:hAnsi="Gill Sans MT"/>
              </w:rPr>
              <w:t xml:space="preserve">Convene a meeting with key THS staff and aged care providers to support community care options. </w:t>
            </w:r>
          </w:p>
          <w:p w:rsidR="00EA281D" w:rsidRPr="00317656" w:rsidRDefault="00EA281D" w:rsidP="004957BB">
            <w:pPr>
              <w:rPr>
                <w:rFonts w:ascii="Gill Sans MT" w:hAnsi="Gill Sans MT"/>
              </w:rPr>
            </w:pPr>
            <w:r>
              <w:rPr>
                <w:rFonts w:ascii="Gill Sans MT" w:hAnsi="Gill Sans MT"/>
              </w:rPr>
              <w:t xml:space="preserve">Commence discussions with key stakeholders including Primary Health Tasmania and GPs, on </w:t>
            </w:r>
            <w:r w:rsidRPr="00317656">
              <w:rPr>
                <w:rFonts w:ascii="Gill Sans MT" w:hAnsi="Gill Sans MT"/>
              </w:rPr>
              <w:t>progress</w:t>
            </w:r>
            <w:r>
              <w:rPr>
                <w:rFonts w:ascii="Gill Sans MT" w:hAnsi="Gill Sans MT"/>
              </w:rPr>
              <w:t>ing</w:t>
            </w:r>
            <w:r w:rsidRPr="00317656">
              <w:rPr>
                <w:rFonts w:ascii="Gill Sans MT" w:hAnsi="Gill Sans MT"/>
              </w:rPr>
              <w:t xml:space="preserve"> ways in which patients can be better supported in the primary sector.  </w:t>
            </w:r>
          </w:p>
        </w:tc>
      </w:tr>
      <w:tr w:rsidR="00EA281D" w:rsidRPr="00317656" w:rsidTr="0025319F">
        <w:tc>
          <w:tcPr>
            <w:tcW w:w="755"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Culture</w:t>
            </w:r>
          </w:p>
        </w:tc>
        <w:tc>
          <w:tcPr>
            <w:tcW w:w="4245" w:type="pct"/>
            <w:shd w:val="clear" w:color="auto" w:fill="auto"/>
          </w:tcPr>
          <w:p w:rsidR="00EA281D" w:rsidRPr="00317656" w:rsidRDefault="00EA281D" w:rsidP="00A8791D">
            <w:pPr>
              <w:rPr>
                <w:rFonts w:ascii="Gill Sans MT" w:hAnsi="Gill Sans MT" w:cs="Calibri"/>
                <w:color w:val="000000"/>
              </w:rPr>
            </w:pPr>
            <w:r w:rsidRPr="00317656">
              <w:rPr>
                <w:rFonts w:ascii="Gill Sans MT" w:hAnsi="Gill Sans MT"/>
              </w:rPr>
              <w:t xml:space="preserve">Design a cultural </w:t>
            </w:r>
            <w:r>
              <w:rPr>
                <w:rFonts w:ascii="Gill Sans MT" w:hAnsi="Gill Sans MT"/>
              </w:rPr>
              <w:t>improvement</w:t>
            </w:r>
            <w:r w:rsidRPr="00317656">
              <w:rPr>
                <w:rFonts w:ascii="Gill Sans MT" w:hAnsi="Gill Sans MT"/>
              </w:rPr>
              <w:t xml:space="preserve"> program across the health system to </w:t>
            </w:r>
            <w:r>
              <w:rPr>
                <w:rFonts w:ascii="Gill Sans MT" w:hAnsi="Gill Sans MT" w:cs="Calibri"/>
                <w:color w:val="000000"/>
              </w:rPr>
              <w:t>support</w:t>
            </w:r>
            <w:r w:rsidRPr="00317656">
              <w:rPr>
                <w:rFonts w:ascii="Gill Sans MT" w:hAnsi="Gill Sans MT" w:cs="Calibri"/>
                <w:color w:val="000000"/>
              </w:rPr>
              <w:t xml:space="preserve"> all departments and staff </w:t>
            </w:r>
            <w:r>
              <w:rPr>
                <w:rFonts w:ascii="Gill Sans MT" w:hAnsi="Gill Sans MT" w:cs="Calibri"/>
                <w:color w:val="000000"/>
              </w:rPr>
              <w:t xml:space="preserve">to </w:t>
            </w:r>
            <w:r w:rsidRPr="00317656">
              <w:rPr>
                <w:rFonts w:ascii="Gill Sans MT" w:hAnsi="Gill Sans MT" w:cs="Calibri"/>
                <w:color w:val="000000"/>
              </w:rPr>
              <w:t>work collaboratively to prioritise the interests of patients</w:t>
            </w:r>
            <w:r>
              <w:rPr>
                <w:rFonts w:ascii="Gill Sans MT" w:hAnsi="Gill Sans MT" w:cs="Calibri"/>
                <w:color w:val="000000"/>
              </w:rPr>
              <w:t>,</w:t>
            </w:r>
            <w:r w:rsidRPr="00317656">
              <w:rPr>
                <w:rFonts w:ascii="Gill Sans MT" w:hAnsi="Gill Sans MT" w:cs="Calibri"/>
                <w:color w:val="000000"/>
              </w:rPr>
              <w:t xml:space="preserve"> eliminat</w:t>
            </w:r>
            <w:r>
              <w:rPr>
                <w:rFonts w:ascii="Gill Sans MT" w:hAnsi="Gill Sans MT" w:cs="Calibri"/>
                <w:color w:val="000000"/>
              </w:rPr>
              <w:t>ing</w:t>
            </w:r>
            <w:r w:rsidRPr="00317656">
              <w:rPr>
                <w:rFonts w:ascii="Gill Sans MT" w:hAnsi="Gill Sans MT" w:cs="Calibri"/>
                <w:color w:val="000000"/>
              </w:rPr>
              <w:t xml:space="preserve"> silos by supporting initiatives that seek to optimise patient flow.</w:t>
            </w:r>
          </w:p>
          <w:p w:rsidR="00EA281D" w:rsidRPr="00317656" w:rsidRDefault="00EA281D" w:rsidP="00A8791D">
            <w:pPr>
              <w:rPr>
                <w:rFonts w:ascii="Gill Sans MT" w:hAnsi="Gill Sans MT"/>
              </w:rPr>
            </w:pPr>
            <w:r w:rsidRPr="00317656">
              <w:rPr>
                <w:rFonts w:ascii="Gill Sans MT" w:hAnsi="Gill Sans MT" w:cs="Calibri"/>
                <w:color w:val="000000"/>
              </w:rPr>
              <w:t xml:space="preserve">The program to commence at the RHH and roll out </w:t>
            </w:r>
            <w:proofErr w:type="spellStart"/>
            <w:r w:rsidRPr="00317656">
              <w:rPr>
                <w:rFonts w:ascii="Gill Sans MT" w:hAnsi="Gill Sans MT" w:cs="Calibri"/>
                <w:color w:val="000000"/>
              </w:rPr>
              <w:t>statewide</w:t>
            </w:r>
            <w:proofErr w:type="spellEnd"/>
            <w:r w:rsidRPr="00317656">
              <w:rPr>
                <w:rFonts w:ascii="Gill Sans MT" w:hAnsi="Gill Sans MT" w:cs="Calibri"/>
                <w:color w:val="000000"/>
              </w:rPr>
              <w:t xml:space="preserve"> later.  </w:t>
            </w:r>
          </w:p>
        </w:tc>
      </w:tr>
      <w:tr w:rsidR="00EA281D" w:rsidRPr="00317656" w:rsidTr="0025319F">
        <w:tc>
          <w:tcPr>
            <w:tcW w:w="755"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Previous reviews</w:t>
            </w:r>
          </w:p>
        </w:tc>
        <w:tc>
          <w:tcPr>
            <w:tcW w:w="4245" w:type="pct"/>
            <w:shd w:val="clear" w:color="auto" w:fill="auto"/>
          </w:tcPr>
          <w:p w:rsidR="00EA281D" w:rsidRPr="00317656" w:rsidRDefault="00EA281D" w:rsidP="005D68CD">
            <w:pPr>
              <w:rPr>
                <w:rFonts w:ascii="Gill Sans MT" w:hAnsi="Gill Sans MT"/>
              </w:rPr>
            </w:pPr>
            <w:r w:rsidRPr="00317656">
              <w:rPr>
                <w:rFonts w:ascii="Gill Sans MT" w:hAnsi="Gill Sans MT"/>
              </w:rPr>
              <w:t>Prioritise relevant recommendations f</w:t>
            </w:r>
            <w:r>
              <w:rPr>
                <w:rFonts w:ascii="Gill Sans MT" w:hAnsi="Gill Sans MT"/>
              </w:rPr>
              <w:t>or implementation from previous reports</w:t>
            </w:r>
            <w:r w:rsidRPr="00317656">
              <w:rPr>
                <w:rFonts w:ascii="Gill Sans MT" w:hAnsi="Gill Sans MT"/>
              </w:rPr>
              <w:t xml:space="preserve">, including </w:t>
            </w:r>
            <w:r>
              <w:rPr>
                <w:rFonts w:ascii="Gill Sans MT" w:hAnsi="Gill Sans MT"/>
              </w:rPr>
              <w:t>criterion</w:t>
            </w:r>
            <w:r w:rsidRPr="00317656">
              <w:rPr>
                <w:rFonts w:ascii="Gill Sans MT" w:hAnsi="Gill Sans MT"/>
              </w:rPr>
              <w:t>-led discharge, discharge planning, support for long stay patients, consistent admissions policies etc</w:t>
            </w:r>
            <w:r>
              <w:rPr>
                <w:rFonts w:ascii="Gill Sans MT" w:hAnsi="Gill Sans MT"/>
              </w:rPr>
              <w:t>.</w:t>
            </w:r>
          </w:p>
        </w:tc>
      </w:tr>
      <w:tr w:rsidR="00EA281D" w:rsidRPr="00317656" w:rsidTr="0025319F">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281D" w:rsidRPr="00317656" w:rsidRDefault="00EA281D" w:rsidP="007353DB">
            <w:pPr>
              <w:rPr>
                <w:rFonts w:ascii="Gill Sans MT" w:hAnsi="Gill Sans MT"/>
                <w:b/>
              </w:rPr>
            </w:pPr>
            <w:r w:rsidRPr="00317656">
              <w:rPr>
                <w:rFonts w:ascii="Gill Sans MT" w:hAnsi="Gill Sans MT"/>
                <w:b/>
              </w:rPr>
              <w:lastRenderedPageBreak/>
              <w:t>Strengthen Governance and accountability</w:t>
            </w:r>
          </w:p>
        </w:tc>
        <w:tc>
          <w:tcPr>
            <w:tcW w:w="4245" w:type="pct"/>
            <w:tcBorders>
              <w:top w:val="single" w:sz="4" w:space="0" w:color="auto"/>
              <w:left w:val="single" w:sz="4" w:space="0" w:color="auto"/>
              <w:bottom w:val="single" w:sz="4" w:space="0" w:color="auto"/>
              <w:right w:val="single" w:sz="4" w:space="0" w:color="auto"/>
            </w:tcBorders>
            <w:shd w:val="clear" w:color="auto" w:fill="auto"/>
          </w:tcPr>
          <w:p w:rsidR="00EA281D" w:rsidRPr="00317656" w:rsidRDefault="00EA281D" w:rsidP="007353DB">
            <w:pPr>
              <w:rPr>
                <w:rFonts w:ascii="Gill Sans MT" w:hAnsi="Gill Sans MT"/>
              </w:rPr>
            </w:pPr>
            <w:r w:rsidRPr="00317656">
              <w:rPr>
                <w:rFonts w:ascii="Gill Sans MT" w:hAnsi="Gill Sans MT"/>
              </w:rPr>
              <w:t>To support the first 12 months of the THS Act, review THS governance to strengthen local decision-making</w:t>
            </w:r>
            <w:r>
              <w:rPr>
                <w:rFonts w:ascii="Gill Sans MT" w:hAnsi="Gill Sans MT"/>
              </w:rPr>
              <w:t xml:space="preserve"> authority and accountability</w:t>
            </w:r>
            <w:r w:rsidRPr="00317656">
              <w:rPr>
                <w:rFonts w:ascii="Gill Sans MT" w:hAnsi="Gill Sans MT"/>
              </w:rPr>
              <w:t>.</w:t>
            </w:r>
          </w:p>
          <w:p w:rsidR="00EA281D" w:rsidRPr="00317656" w:rsidRDefault="00EA281D" w:rsidP="007353DB">
            <w:pPr>
              <w:rPr>
                <w:rFonts w:ascii="Gill Sans MT" w:hAnsi="Gill Sans MT"/>
              </w:rPr>
            </w:pPr>
            <w:r w:rsidRPr="00317656">
              <w:rPr>
                <w:rFonts w:ascii="Gill Sans MT" w:hAnsi="Gill Sans MT"/>
              </w:rPr>
              <w:t>Develop a clear accountability framework including rules for engagement to support empowerment of clinical leaders.</w:t>
            </w:r>
          </w:p>
        </w:tc>
      </w:tr>
    </w:tbl>
    <w:p w:rsidR="0025319F" w:rsidRDefault="0025319F" w:rsidP="0035792D">
      <w:pPr>
        <w:pStyle w:val="Heading1"/>
      </w:pPr>
    </w:p>
    <w:p w:rsidR="004B7EFA" w:rsidRPr="0035792D" w:rsidRDefault="0025319F" w:rsidP="0025319F">
      <w:pPr>
        <w:pStyle w:val="Heading1"/>
      </w:pPr>
      <w:r>
        <w:br w:type="page"/>
      </w:r>
      <w:r w:rsidR="004B7EFA" w:rsidRPr="0035792D">
        <w:lastRenderedPageBreak/>
        <w:t xml:space="preserve">Medium term actions (before </w:t>
      </w:r>
      <w:r w:rsidR="00027234" w:rsidRPr="0035792D">
        <w:t>end October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1820"/>
      </w:tblGrid>
      <w:tr w:rsidR="00EA281D" w:rsidRPr="0025319F" w:rsidTr="0025319F">
        <w:tc>
          <w:tcPr>
            <w:tcW w:w="763" w:type="pct"/>
            <w:shd w:val="clear" w:color="auto" w:fill="2E74B5"/>
          </w:tcPr>
          <w:p w:rsidR="00EA281D" w:rsidRPr="0025319F" w:rsidRDefault="00EA281D" w:rsidP="004957BB">
            <w:pPr>
              <w:rPr>
                <w:rFonts w:ascii="Gill Sans MT" w:hAnsi="Gill Sans MT"/>
                <w:b/>
                <w:color w:val="FFFFFF" w:themeColor="background1"/>
                <w:sz w:val="28"/>
              </w:rPr>
            </w:pPr>
            <w:r w:rsidRPr="0025319F">
              <w:rPr>
                <w:rFonts w:ascii="Gill Sans MT" w:hAnsi="Gill Sans MT"/>
                <w:b/>
                <w:color w:val="FFFFFF" w:themeColor="background1"/>
                <w:sz w:val="28"/>
              </w:rPr>
              <w:t>Focus</w:t>
            </w:r>
          </w:p>
        </w:tc>
        <w:tc>
          <w:tcPr>
            <w:tcW w:w="4237" w:type="pct"/>
            <w:shd w:val="clear" w:color="auto" w:fill="2E74B5"/>
          </w:tcPr>
          <w:p w:rsidR="00EA281D" w:rsidRPr="0025319F" w:rsidRDefault="00EA281D" w:rsidP="004957BB">
            <w:pPr>
              <w:rPr>
                <w:rFonts w:ascii="Gill Sans MT" w:hAnsi="Gill Sans MT"/>
                <w:b/>
                <w:color w:val="FFFFFF" w:themeColor="background1"/>
                <w:sz w:val="28"/>
              </w:rPr>
            </w:pPr>
            <w:r w:rsidRPr="0025319F">
              <w:rPr>
                <w:rFonts w:ascii="Gill Sans MT" w:hAnsi="Gill Sans MT"/>
                <w:b/>
                <w:color w:val="FFFFFF" w:themeColor="background1"/>
                <w:sz w:val="28"/>
              </w:rPr>
              <w:t>Action</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Hospital in the Home</w:t>
            </w:r>
          </w:p>
        </w:tc>
        <w:tc>
          <w:tcPr>
            <w:tcW w:w="4237" w:type="pct"/>
            <w:shd w:val="clear" w:color="auto" w:fill="auto"/>
          </w:tcPr>
          <w:p w:rsidR="00EA281D" w:rsidRPr="00317656" w:rsidRDefault="00EA281D" w:rsidP="00574A19">
            <w:pPr>
              <w:rPr>
                <w:rFonts w:ascii="Gill Sans MT" w:hAnsi="Gill Sans MT"/>
              </w:rPr>
            </w:pPr>
            <w:r w:rsidRPr="00317656">
              <w:rPr>
                <w:rFonts w:ascii="Gill Sans MT" w:hAnsi="Gill Sans MT"/>
              </w:rPr>
              <w:t xml:space="preserve">Develop </w:t>
            </w:r>
            <w:r>
              <w:rPr>
                <w:rFonts w:ascii="Gill Sans MT" w:hAnsi="Gill Sans MT"/>
              </w:rPr>
              <w:t>a trial for a</w:t>
            </w:r>
            <w:r w:rsidRPr="00317656">
              <w:rPr>
                <w:rFonts w:ascii="Gill Sans MT" w:hAnsi="Gill Sans MT"/>
              </w:rPr>
              <w:t xml:space="preserve"> hospital in the home service and consider the role of Aged Care Assessment </w:t>
            </w:r>
            <w:r>
              <w:rPr>
                <w:rFonts w:ascii="Gill Sans MT" w:hAnsi="Gill Sans MT"/>
              </w:rPr>
              <w:t>T</w:t>
            </w:r>
            <w:r w:rsidRPr="00317656">
              <w:rPr>
                <w:rFonts w:ascii="Gill Sans MT" w:hAnsi="Gill Sans MT"/>
              </w:rPr>
              <w:t>eams to support patient flow (noting ACATs are funded by the Commonwealth) while construction is completed on K-Block</w:t>
            </w:r>
            <w:r>
              <w:rPr>
                <w:rFonts w:ascii="Gill Sans MT" w:hAnsi="Gill Sans MT"/>
              </w:rPr>
              <w:t>.</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Pharmacy Operations</w:t>
            </w:r>
          </w:p>
        </w:tc>
        <w:tc>
          <w:tcPr>
            <w:tcW w:w="4237" w:type="pct"/>
            <w:shd w:val="clear" w:color="auto" w:fill="auto"/>
          </w:tcPr>
          <w:p w:rsidR="00EA281D" w:rsidRPr="00317656" w:rsidRDefault="00EA281D" w:rsidP="0079188A">
            <w:pPr>
              <w:rPr>
                <w:rFonts w:ascii="Gill Sans MT" w:hAnsi="Gill Sans MT"/>
              </w:rPr>
            </w:pPr>
            <w:r w:rsidRPr="00317656">
              <w:rPr>
                <w:rFonts w:ascii="Gill Sans MT" w:hAnsi="Gill Sans MT"/>
              </w:rPr>
              <w:t xml:space="preserve">Trial </w:t>
            </w:r>
            <w:r>
              <w:rPr>
                <w:rFonts w:ascii="Gill Sans MT" w:hAnsi="Gill Sans MT"/>
              </w:rPr>
              <w:t>admission medication charting by pharmacists aimed at reducing length of stay and medication errors.</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Pr>
                <w:rFonts w:ascii="Gill Sans MT" w:hAnsi="Gill Sans MT"/>
                <w:b/>
              </w:rPr>
              <w:t>P</w:t>
            </w:r>
            <w:r w:rsidRPr="00317656">
              <w:rPr>
                <w:rFonts w:ascii="Gill Sans MT" w:hAnsi="Gill Sans MT"/>
                <w:b/>
              </w:rPr>
              <w:t xml:space="preserve">rocess </w:t>
            </w:r>
            <w:r>
              <w:rPr>
                <w:rFonts w:ascii="Gill Sans MT" w:hAnsi="Gill Sans MT"/>
                <w:b/>
              </w:rPr>
              <w:t>I</w:t>
            </w:r>
            <w:r w:rsidRPr="00317656">
              <w:rPr>
                <w:rFonts w:ascii="Gill Sans MT" w:hAnsi="Gill Sans MT"/>
                <w:b/>
              </w:rPr>
              <w:t>mprovement</w:t>
            </w:r>
          </w:p>
          <w:p w:rsidR="00EA281D" w:rsidRPr="00317656" w:rsidRDefault="00EA281D" w:rsidP="00317656">
            <w:pPr>
              <w:jc w:val="center"/>
              <w:rPr>
                <w:rFonts w:ascii="Gill Sans MT" w:hAnsi="Gill Sans MT"/>
                <w:b/>
              </w:rPr>
            </w:pPr>
          </w:p>
        </w:tc>
        <w:tc>
          <w:tcPr>
            <w:tcW w:w="4237" w:type="pct"/>
            <w:shd w:val="clear" w:color="auto" w:fill="auto"/>
          </w:tcPr>
          <w:p w:rsidR="00EA281D" w:rsidRPr="00317656" w:rsidRDefault="00EA281D" w:rsidP="004957BB">
            <w:pPr>
              <w:rPr>
                <w:rFonts w:ascii="Gill Sans MT" w:hAnsi="Gill Sans MT"/>
              </w:rPr>
            </w:pPr>
            <w:r w:rsidRPr="00317656">
              <w:rPr>
                <w:rFonts w:ascii="Gill Sans MT" w:hAnsi="Gill Sans MT"/>
              </w:rPr>
              <w:t>Establish a quality improvement group to start trialling new approaches to improve patient flow.</w:t>
            </w:r>
          </w:p>
          <w:p w:rsidR="00EA281D" w:rsidRDefault="00EA281D" w:rsidP="004957BB">
            <w:pPr>
              <w:rPr>
                <w:rFonts w:ascii="Gill Sans MT" w:hAnsi="Gill Sans MT"/>
              </w:rPr>
            </w:pPr>
            <w:r w:rsidRPr="00317656">
              <w:rPr>
                <w:rFonts w:ascii="Gill Sans MT" w:hAnsi="Gill Sans MT"/>
              </w:rPr>
              <w:t>Evaluate and implement improved processes.</w:t>
            </w:r>
          </w:p>
          <w:p w:rsidR="00EA281D" w:rsidRPr="00317656" w:rsidRDefault="00EA281D" w:rsidP="004957BB">
            <w:pPr>
              <w:rPr>
                <w:rFonts w:ascii="Gill Sans MT" w:hAnsi="Gill Sans MT"/>
              </w:rPr>
            </w:pPr>
            <w:r w:rsidRPr="00382C49">
              <w:rPr>
                <w:rFonts w:ascii="Gill Sans MT" w:hAnsi="Gill Sans MT"/>
              </w:rPr>
              <w:t>Consider speaking up for safety programme cognitive institute.</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Mental Health</w:t>
            </w:r>
          </w:p>
        </w:tc>
        <w:tc>
          <w:tcPr>
            <w:tcW w:w="4237" w:type="pct"/>
            <w:shd w:val="clear" w:color="auto" w:fill="auto"/>
          </w:tcPr>
          <w:p w:rsidR="00EA281D" w:rsidRPr="00317656" w:rsidRDefault="00EA281D" w:rsidP="00317656">
            <w:pPr>
              <w:rPr>
                <w:rFonts w:ascii="Gill Sans MT" w:hAnsi="Gill Sans MT"/>
              </w:rPr>
            </w:pPr>
            <w:r w:rsidRPr="00317656">
              <w:rPr>
                <w:rFonts w:ascii="Gill Sans MT" w:hAnsi="Gill Sans MT"/>
              </w:rPr>
              <w:t>Develop the model for an integrated approach for mental health services inclusive of a hospital avoidance program.</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General Medicine</w:t>
            </w:r>
          </w:p>
        </w:tc>
        <w:tc>
          <w:tcPr>
            <w:tcW w:w="4237" w:type="pct"/>
            <w:shd w:val="clear" w:color="auto" w:fill="auto"/>
          </w:tcPr>
          <w:p w:rsidR="00EA281D" w:rsidRDefault="00EA281D" w:rsidP="00027234">
            <w:pPr>
              <w:rPr>
                <w:rFonts w:ascii="Gill Sans MT" w:hAnsi="Gill Sans MT"/>
              </w:rPr>
            </w:pPr>
            <w:r w:rsidRPr="00317656">
              <w:rPr>
                <w:rFonts w:ascii="Gill Sans MT" w:hAnsi="Gill Sans MT"/>
              </w:rPr>
              <w:t xml:space="preserve">Implement </w:t>
            </w:r>
            <w:r>
              <w:rPr>
                <w:rFonts w:ascii="Gill Sans MT" w:hAnsi="Gill Sans MT"/>
              </w:rPr>
              <w:t xml:space="preserve">a </w:t>
            </w:r>
            <w:r w:rsidRPr="00317656">
              <w:rPr>
                <w:rFonts w:ascii="Gill Sans MT" w:hAnsi="Gill Sans MT"/>
              </w:rPr>
              <w:t>rolling admission roster for General Medicine</w:t>
            </w:r>
            <w:r>
              <w:rPr>
                <w:rFonts w:ascii="Gill Sans MT" w:hAnsi="Gill Sans MT"/>
              </w:rPr>
              <w:t>.</w:t>
            </w:r>
          </w:p>
          <w:p w:rsidR="00EA281D" w:rsidRPr="00317656" w:rsidRDefault="00EA281D" w:rsidP="00382C49">
            <w:pPr>
              <w:rPr>
                <w:rFonts w:ascii="Gill Sans MT" w:hAnsi="Gill Sans MT"/>
                <w:highlight w:val="yellow"/>
              </w:rPr>
            </w:pPr>
            <w:r w:rsidRPr="00382C49">
              <w:rPr>
                <w:rFonts w:ascii="Gill Sans MT" w:hAnsi="Gill Sans MT"/>
              </w:rPr>
              <w:t>Review medical emergency team composition</w:t>
            </w:r>
            <w:r>
              <w:rPr>
                <w:rFonts w:ascii="Gill Sans MT" w:hAnsi="Gill Sans MT"/>
              </w:rPr>
              <w:t>.</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Reporting</w:t>
            </w:r>
          </w:p>
        </w:tc>
        <w:tc>
          <w:tcPr>
            <w:tcW w:w="4237" w:type="pct"/>
            <w:shd w:val="clear" w:color="auto" w:fill="auto"/>
          </w:tcPr>
          <w:p w:rsidR="00EA281D" w:rsidRPr="00317656" w:rsidRDefault="00EA281D" w:rsidP="0079188A">
            <w:pPr>
              <w:rPr>
                <w:rFonts w:ascii="Gill Sans MT" w:hAnsi="Gill Sans MT"/>
              </w:rPr>
            </w:pPr>
            <w:r w:rsidRPr="00317656">
              <w:rPr>
                <w:rFonts w:ascii="Gill Sans MT" w:hAnsi="Gill Sans MT"/>
              </w:rPr>
              <w:t xml:space="preserve">Review public reporting of patient flow indicators to improve transparency of information relating to access to health care. </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Community Services</w:t>
            </w:r>
          </w:p>
        </w:tc>
        <w:tc>
          <w:tcPr>
            <w:tcW w:w="4237" w:type="pct"/>
            <w:shd w:val="clear" w:color="auto" w:fill="auto"/>
          </w:tcPr>
          <w:p w:rsidR="00EA281D" w:rsidRPr="00317656" w:rsidRDefault="00EA281D" w:rsidP="00317656">
            <w:pPr>
              <w:pStyle w:val="ListParagraph"/>
              <w:ind w:left="0"/>
              <w:rPr>
                <w:rFonts w:ascii="Gill Sans MT" w:hAnsi="Gill Sans MT"/>
              </w:rPr>
            </w:pPr>
            <w:r w:rsidRPr="00317656">
              <w:rPr>
                <w:rFonts w:ascii="Gill Sans MT" w:hAnsi="Gill Sans MT"/>
              </w:rPr>
              <w:t xml:space="preserve">Complete review of southern public primary health and community care services including utilisation of rural </w:t>
            </w:r>
            <w:r>
              <w:rPr>
                <w:rFonts w:ascii="Gill Sans MT" w:hAnsi="Gill Sans MT"/>
              </w:rPr>
              <w:t>in-patient facilities</w:t>
            </w:r>
            <w:r w:rsidRPr="00317656">
              <w:rPr>
                <w:rFonts w:ascii="Gill Sans MT" w:hAnsi="Gill Sans MT"/>
              </w:rPr>
              <w:t xml:space="preserve"> to improve patient flow.  </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Clinical Risk</w:t>
            </w:r>
          </w:p>
        </w:tc>
        <w:tc>
          <w:tcPr>
            <w:tcW w:w="4237" w:type="pct"/>
            <w:shd w:val="clear" w:color="auto" w:fill="auto"/>
          </w:tcPr>
          <w:p w:rsidR="00EA281D" w:rsidRPr="00317656" w:rsidRDefault="00EA281D" w:rsidP="00E6550B">
            <w:pPr>
              <w:rPr>
                <w:rFonts w:ascii="Gill Sans MT" w:hAnsi="Gill Sans MT"/>
              </w:rPr>
            </w:pPr>
            <w:r w:rsidRPr="00317656">
              <w:rPr>
                <w:rFonts w:ascii="Gill Sans MT" w:hAnsi="Gill Sans MT"/>
              </w:rPr>
              <w:t>Whole of hospital system approach to clinical risk</w:t>
            </w:r>
          </w:p>
          <w:p w:rsidR="00EA281D" w:rsidRPr="00317656" w:rsidRDefault="00EA281D" w:rsidP="00317656">
            <w:pPr>
              <w:numPr>
                <w:ilvl w:val="0"/>
                <w:numId w:val="8"/>
              </w:numPr>
              <w:rPr>
                <w:rFonts w:ascii="Gill Sans MT" w:hAnsi="Gill Sans MT"/>
              </w:rPr>
            </w:pPr>
            <w:r w:rsidRPr="00317656">
              <w:rPr>
                <w:rFonts w:ascii="Gill Sans MT" w:hAnsi="Gill Sans MT"/>
              </w:rPr>
              <w:t>Develop a system approach to clinical risk to ensure everyone takes</w:t>
            </w:r>
            <w:r>
              <w:rPr>
                <w:rFonts w:ascii="Gill Sans MT" w:hAnsi="Gill Sans MT"/>
              </w:rPr>
              <w:t xml:space="preserve"> collective</w:t>
            </w:r>
            <w:r w:rsidRPr="00317656">
              <w:rPr>
                <w:rFonts w:ascii="Gill Sans MT" w:hAnsi="Gill Sans MT"/>
              </w:rPr>
              <w:t xml:space="preserve"> responsibility for patient care and patient flow.</w:t>
            </w:r>
          </w:p>
          <w:p w:rsidR="00EA281D" w:rsidRPr="00317656" w:rsidRDefault="00EA281D" w:rsidP="00317656">
            <w:pPr>
              <w:numPr>
                <w:ilvl w:val="0"/>
                <w:numId w:val="8"/>
              </w:numPr>
              <w:rPr>
                <w:rFonts w:ascii="Gill Sans MT" w:hAnsi="Gill Sans MT"/>
              </w:rPr>
            </w:pPr>
            <w:r w:rsidRPr="00317656">
              <w:rPr>
                <w:rFonts w:ascii="Gill Sans MT" w:hAnsi="Gill Sans MT"/>
              </w:rPr>
              <w:t xml:space="preserve">Ensure </w:t>
            </w:r>
            <w:proofErr w:type="gramStart"/>
            <w:r w:rsidRPr="00317656">
              <w:rPr>
                <w:rFonts w:ascii="Gill Sans MT" w:hAnsi="Gill Sans MT"/>
              </w:rPr>
              <w:t>24 hour</w:t>
            </w:r>
            <w:proofErr w:type="gramEnd"/>
            <w:r w:rsidRPr="00317656">
              <w:rPr>
                <w:rFonts w:ascii="Gill Sans MT" w:hAnsi="Gill Sans MT"/>
              </w:rPr>
              <w:t xml:space="preserve"> ED </w:t>
            </w:r>
            <w:r>
              <w:rPr>
                <w:rFonts w:ascii="Gill Sans MT" w:hAnsi="Gill Sans MT"/>
              </w:rPr>
              <w:t>stats</w:t>
            </w:r>
            <w:r w:rsidRPr="00317656">
              <w:rPr>
                <w:rFonts w:ascii="Gill Sans MT" w:hAnsi="Gill Sans MT"/>
              </w:rPr>
              <w:t xml:space="preserve"> are red flag events and incorporated into patient flow meetings.</w:t>
            </w:r>
          </w:p>
        </w:tc>
      </w:tr>
      <w:tr w:rsidR="00EA281D" w:rsidRPr="00317656" w:rsidTr="0025319F">
        <w:tc>
          <w:tcPr>
            <w:tcW w:w="763" w:type="pct"/>
            <w:shd w:val="clear" w:color="auto" w:fill="F2F2F2" w:themeFill="background1" w:themeFillShade="F2"/>
          </w:tcPr>
          <w:p w:rsidR="00EA281D" w:rsidRPr="001979B1" w:rsidRDefault="00EA281D" w:rsidP="004957BB">
            <w:pPr>
              <w:rPr>
                <w:rFonts w:ascii="Gill Sans MT" w:hAnsi="Gill Sans MT"/>
                <w:b/>
              </w:rPr>
            </w:pPr>
            <w:r w:rsidRPr="001979B1">
              <w:rPr>
                <w:rFonts w:ascii="Gill Sans MT" w:hAnsi="Gill Sans MT"/>
                <w:b/>
              </w:rPr>
              <w:t xml:space="preserve">Sub-Acute Care </w:t>
            </w:r>
          </w:p>
        </w:tc>
        <w:tc>
          <w:tcPr>
            <w:tcW w:w="4237" w:type="pct"/>
            <w:shd w:val="clear" w:color="auto" w:fill="auto"/>
          </w:tcPr>
          <w:p w:rsidR="00EA281D" w:rsidRPr="001979B1" w:rsidRDefault="00EA281D" w:rsidP="00E6550B">
            <w:pPr>
              <w:rPr>
                <w:rFonts w:ascii="Gill Sans MT" w:hAnsi="Gill Sans MT"/>
              </w:rPr>
            </w:pPr>
            <w:r w:rsidRPr="001979B1">
              <w:rPr>
                <w:rFonts w:ascii="Gill Sans MT" w:hAnsi="Gill Sans MT"/>
              </w:rPr>
              <w:t>Review of referral pathways to sub-acute</w:t>
            </w:r>
            <w:r>
              <w:rPr>
                <w:rFonts w:ascii="Gill Sans MT" w:hAnsi="Gill Sans MT"/>
              </w:rPr>
              <w:t>.</w:t>
            </w:r>
          </w:p>
          <w:p w:rsidR="00EA281D" w:rsidRPr="001979B1" w:rsidRDefault="00EA281D" w:rsidP="00E6550B">
            <w:pPr>
              <w:rPr>
                <w:rFonts w:ascii="Gill Sans MT" w:hAnsi="Gill Sans MT"/>
              </w:rPr>
            </w:pPr>
            <w:r>
              <w:rPr>
                <w:rFonts w:ascii="Gill Sans MT" w:hAnsi="Gill Sans MT"/>
              </w:rPr>
              <w:t>Review length of stay</w:t>
            </w:r>
            <w:r w:rsidRPr="001979B1">
              <w:rPr>
                <w:rFonts w:ascii="Gill Sans MT" w:hAnsi="Gill Sans MT"/>
              </w:rPr>
              <w:t xml:space="preserve"> for rehabilitation and model of care</w:t>
            </w:r>
            <w:r>
              <w:rPr>
                <w:rFonts w:ascii="Gill Sans MT" w:hAnsi="Gill Sans MT"/>
              </w:rPr>
              <w:t>.</w:t>
            </w:r>
            <w:r w:rsidRPr="001979B1">
              <w:rPr>
                <w:rFonts w:ascii="Gill Sans MT" w:hAnsi="Gill Sans MT"/>
              </w:rPr>
              <w:t xml:space="preserve"> </w:t>
            </w:r>
          </w:p>
          <w:p w:rsidR="00EA281D" w:rsidRPr="001979B1" w:rsidRDefault="00EA281D" w:rsidP="00E6550B">
            <w:pPr>
              <w:rPr>
                <w:rFonts w:ascii="Gill Sans MT" w:hAnsi="Gill Sans MT"/>
              </w:rPr>
            </w:pPr>
            <w:r w:rsidRPr="001979B1">
              <w:rPr>
                <w:rFonts w:ascii="Gill Sans MT" w:hAnsi="Gill Sans MT"/>
              </w:rPr>
              <w:t xml:space="preserve">Develop a handover </w:t>
            </w:r>
            <w:r>
              <w:rPr>
                <w:rFonts w:ascii="Gill Sans MT" w:hAnsi="Gill Sans MT"/>
              </w:rPr>
              <w:t>process for end of life care.</w:t>
            </w:r>
          </w:p>
        </w:tc>
      </w:tr>
      <w:tr w:rsidR="00EA281D" w:rsidRPr="00317656" w:rsidTr="0025319F">
        <w:tc>
          <w:tcPr>
            <w:tcW w:w="7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281D" w:rsidRPr="00317656" w:rsidRDefault="00EA281D" w:rsidP="004C0DBC">
            <w:pPr>
              <w:rPr>
                <w:rFonts w:ascii="Gill Sans MT" w:hAnsi="Gill Sans MT"/>
                <w:b/>
              </w:rPr>
            </w:pPr>
            <w:r w:rsidRPr="00317656">
              <w:rPr>
                <w:rFonts w:ascii="Gill Sans MT" w:hAnsi="Gill Sans MT"/>
                <w:b/>
              </w:rPr>
              <w:t>Workforce Strategy</w:t>
            </w:r>
          </w:p>
        </w:tc>
        <w:tc>
          <w:tcPr>
            <w:tcW w:w="4237" w:type="pct"/>
            <w:tcBorders>
              <w:top w:val="single" w:sz="4" w:space="0" w:color="auto"/>
              <w:left w:val="single" w:sz="4" w:space="0" w:color="auto"/>
              <w:bottom w:val="single" w:sz="4" w:space="0" w:color="auto"/>
              <w:right w:val="single" w:sz="4" w:space="0" w:color="auto"/>
            </w:tcBorders>
            <w:shd w:val="clear" w:color="auto" w:fill="auto"/>
          </w:tcPr>
          <w:p w:rsidR="00EA281D" w:rsidRPr="00317656" w:rsidRDefault="00EA281D" w:rsidP="004C0DBC">
            <w:pPr>
              <w:rPr>
                <w:rFonts w:ascii="Gill Sans MT" w:hAnsi="Gill Sans MT"/>
              </w:rPr>
            </w:pPr>
            <w:r w:rsidRPr="00317656">
              <w:rPr>
                <w:rFonts w:ascii="Gill Sans MT" w:hAnsi="Gill Sans MT"/>
              </w:rPr>
              <w:t xml:space="preserve">Release the Workforce Strategy to inform decisions regarding recruitment and retention. </w:t>
            </w:r>
          </w:p>
        </w:tc>
      </w:tr>
    </w:tbl>
    <w:p w:rsidR="00036C4D" w:rsidRPr="0035792D" w:rsidRDefault="00036C4D" w:rsidP="0025319F">
      <w:pPr>
        <w:pStyle w:val="Heading1"/>
      </w:pPr>
      <w:r w:rsidRPr="0035792D">
        <w:lastRenderedPageBreak/>
        <w:t>Lon</w:t>
      </w:r>
      <w:r w:rsidR="00C933A1" w:rsidRPr="0035792D">
        <w:t>g</w:t>
      </w:r>
      <w:r w:rsidRPr="0035792D">
        <w:t xml:space="preserve"> term actions (before end May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1820"/>
      </w:tblGrid>
      <w:tr w:rsidR="00EA281D" w:rsidRPr="0025319F" w:rsidTr="0025319F">
        <w:trPr>
          <w:tblHeader/>
        </w:trPr>
        <w:tc>
          <w:tcPr>
            <w:tcW w:w="763" w:type="pct"/>
            <w:shd w:val="clear" w:color="auto" w:fill="2E74B5"/>
          </w:tcPr>
          <w:p w:rsidR="00EA281D" w:rsidRPr="0025319F" w:rsidRDefault="00EA281D" w:rsidP="004957BB">
            <w:pPr>
              <w:rPr>
                <w:rFonts w:ascii="Gill Sans MT" w:hAnsi="Gill Sans MT"/>
                <w:b/>
                <w:color w:val="FFFFFF" w:themeColor="background1"/>
                <w:sz w:val="28"/>
              </w:rPr>
            </w:pPr>
            <w:r w:rsidRPr="0025319F">
              <w:rPr>
                <w:rFonts w:ascii="Gill Sans MT" w:hAnsi="Gill Sans MT"/>
                <w:b/>
                <w:color w:val="FFFFFF" w:themeColor="background1"/>
                <w:sz w:val="28"/>
              </w:rPr>
              <w:t>Focus</w:t>
            </w:r>
          </w:p>
        </w:tc>
        <w:tc>
          <w:tcPr>
            <w:tcW w:w="4237" w:type="pct"/>
            <w:shd w:val="clear" w:color="auto" w:fill="2E74B5"/>
          </w:tcPr>
          <w:p w:rsidR="00EA281D" w:rsidRPr="0025319F" w:rsidRDefault="00EA281D" w:rsidP="004957BB">
            <w:pPr>
              <w:rPr>
                <w:rFonts w:ascii="Gill Sans MT" w:hAnsi="Gill Sans MT"/>
                <w:b/>
                <w:color w:val="FFFFFF" w:themeColor="background1"/>
                <w:sz w:val="28"/>
              </w:rPr>
            </w:pPr>
            <w:r w:rsidRPr="0025319F">
              <w:rPr>
                <w:rFonts w:ascii="Gill Sans MT" w:hAnsi="Gill Sans MT"/>
                <w:b/>
                <w:color w:val="FFFFFF" w:themeColor="background1"/>
                <w:sz w:val="28"/>
              </w:rPr>
              <w:t>Action</w:t>
            </w:r>
          </w:p>
        </w:tc>
      </w:tr>
      <w:tr w:rsidR="00EA281D" w:rsidRPr="00317656" w:rsidTr="0025319F">
        <w:tc>
          <w:tcPr>
            <w:tcW w:w="763" w:type="pct"/>
            <w:shd w:val="clear" w:color="auto" w:fill="F2F2F2" w:themeFill="background1" w:themeFillShade="F2"/>
          </w:tcPr>
          <w:p w:rsidR="00EA281D" w:rsidRPr="00317656" w:rsidRDefault="00EA281D" w:rsidP="00574A19">
            <w:pPr>
              <w:rPr>
                <w:rFonts w:ascii="Gill Sans MT" w:hAnsi="Gill Sans MT"/>
                <w:b/>
              </w:rPr>
            </w:pPr>
            <w:r>
              <w:rPr>
                <w:rFonts w:ascii="Gill Sans MT" w:hAnsi="Gill Sans MT"/>
                <w:b/>
              </w:rPr>
              <w:t>K-</w:t>
            </w:r>
            <w:r w:rsidRPr="00317656">
              <w:rPr>
                <w:rFonts w:ascii="Gill Sans MT" w:hAnsi="Gill Sans MT"/>
                <w:b/>
              </w:rPr>
              <w:t>Block</w:t>
            </w:r>
          </w:p>
        </w:tc>
        <w:tc>
          <w:tcPr>
            <w:tcW w:w="4237" w:type="pct"/>
            <w:shd w:val="clear" w:color="auto" w:fill="auto"/>
          </w:tcPr>
          <w:p w:rsidR="00EA281D" w:rsidRPr="00317656" w:rsidRDefault="00EA281D" w:rsidP="00574A19">
            <w:pPr>
              <w:rPr>
                <w:rFonts w:ascii="Gill Sans MT" w:hAnsi="Gill Sans MT"/>
              </w:rPr>
            </w:pPr>
            <w:r>
              <w:rPr>
                <w:rFonts w:ascii="Gill Sans MT" w:hAnsi="Gill Sans MT"/>
              </w:rPr>
              <w:t>Commissioning of inpatient wards in K-Block in February 2020, including additional</w:t>
            </w:r>
            <w:r w:rsidRPr="00317656">
              <w:rPr>
                <w:rFonts w:ascii="Gill Sans MT" w:hAnsi="Gill Sans MT"/>
              </w:rPr>
              <w:t xml:space="preserve"> beds at RHH</w:t>
            </w:r>
            <w:r>
              <w:rPr>
                <w:rFonts w:ascii="Gill Sans MT" w:hAnsi="Gill Sans MT"/>
              </w:rPr>
              <w:t>.</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sidRPr="00317656">
              <w:rPr>
                <w:rFonts w:ascii="Gill Sans MT" w:hAnsi="Gill Sans MT"/>
                <w:b/>
              </w:rPr>
              <w:t>Mental Health</w:t>
            </w:r>
          </w:p>
        </w:tc>
        <w:tc>
          <w:tcPr>
            <w:tcW w:w="4237" w:type="pct"/>
            <w:shd w:val="clear" w:color="auto" w:fill="auto"/>
          </w:tcPr>
          <w:p w:rsidR="00EA281D" w:rsidRPr="00317656" w:rsidRDefault="00EA281D" w:rsidP="00317656">
            <w:pPr>
              <w:rPr>
                <w:rFonts w:ascii="Gill Sans MT" w:hAnsi="Gill Sans MT"/>
              </w:rPr>
            </w:pPr>
            <w:r w:rsidRPr="00317656">
              <w:rPr>
                <w:rFonts w:ascii="Gill Sans MT" w:hAnsi="Gill Sans MT"/>
              </w:rPr>
              <w:t>Implement the model for an integrated approach for mental health services inclusive of a hospital avoidance program.</w:t>
            </w:r>
          </w:p>
        </w:tc>
      </w:tr>
      <w:tr w:rsidR="00EA281D" w:rsidRPr="00317656" w:rsidTr="0025319F">
        <w:tc>
          <w:tcPr>
            <w:tcW w:w="763" w:type="pct"/>
            <w:shd w:val="clear" w:color="auto" w:fill="F2F2F2" w:themeFill="background1" w:themeFillShade="F2"/>
          </w:tcPr>
          <w:p w:rsidR="00EA281D" w:rsidRPr="00317656" w:rsidRDefault="00EA281D" w:rsidP="004957BB">
            <w:pPr>
              <w:rPr>
                <w:rFonts w:ascii="Gill Sans MT" w:hAnsi="Gill Sans MT"/>
                <w:b/>
              </w:rPr>
            </w:pPr>
            <w:r>
              <w:rPr>
                <w:rFonts w:ascii="Gill Sans MT" w:hAnsi="Gill Sans MT"/>
                <w:b/>
              </w:rPr>
              <w:t>Review</w:t>
            </w:r>
          </w:p>
        </w:tc>
        <w:tc>
          <w:tcPr>
            <w:tcW w:w="4237" w:type="pct"/>
            <w:shd w:val="clear" w:color="auto" w:fill="auto"/>
          </w:tcPr>
          <w:p w:rsidR="00EA281D" w:rsidRPr="00317656" w:rsidRDefault="00EA281D" w:rsidP="00317656">
            <w:pPr>
              <w:rPr>
                <w:rFonts w:ascii="Gill Sans MT" w:hAnsi="Gill Sans MT"/>
              </w:rPr>
            </w:pPr>
            <w:r>
              <w:rPr>
                <w:rFonts w:ascii="Gill Sans MT" w:hAnsi="Gill Sans MT"/>
              </w:rPr>
              <w:t>Review of the actions in this plan and progress.</w:t>
            </w:r>
          </w:p>
        </w:tc>
      </w:tr>
    </w:tbl>
    <w:p w:rsidR="00036C4D" w:rsidRPr="00036C4D" w:rsidRDefault="00036C4D" w:rsidP="00840228">
      <w:pPr>
        <w:rPr>
          <w:rFonts w:ascii="Gill Sans MT" w:hAnsi="Gill Sans MT"/>
          <w:b/>
        </w:rPr>
      </w:pPr>
      <w:bookmarkStart w:id="0" w:name="_GoBack"/>
      <w:bookmarkEnd w:id="0"/>
    </w:p>
    <w:sectPr w:rsidR="00036C4D" w:rsidRPr="00036C4D" w:rsidSect="00DE5014">
      <w:footerReference w:type="default" r:id="rId8"/>
      <w:footerReference w:type="first" r:id="rId9"/>
      <w:pgSz w:w="16838" w:h="11906" w:orient="landscape" w:code="9"/>
      <w:pgMar w:top="709" w:right="1440" w:bottom="851" w:left="1440" w:header="709"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A38" w:rsidRDefault="00191A38" w:rsidP="00317656">
      <w:pPr>
        <w:spacing w:after="0" w:line="240" w:lineRule="auto"/>
      </w:pPr>
      <w:r>
        <w:separator/>
      </w:r>
    </w:p>
  </w:endnote>
  <w:endnote w:type="continuationSeparator" w:id="0">
    <w:p w:rsidR="00191A38" w:rsidRDefault="00191A38" w:rsidP="0031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
    <w:altName w:val="Frutige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56" w:rsidRPr="00317656" w:rsidRDefault="00317656" w:rsidP="0025319F">
    <w:pPr>
      <w:pStyle w:val="Footer"/>
      <w:jc w:val="right"/>
      <w:rPr>
        <w:rFonts w:ascii="Gill Sans MT" w:hAnsi="Gill Sans MT"/>
        <w:sz w:val="20"/>
        <w:szCs w:val="20"/>
      </w:rPr>
    </w:pPr>
    <w:r w:rsidRPr="00317656">
      <w:rPr>
        <w:rFonts w:ascii="Gill Sans MT" w:hAnsi="Gill Sans MT"/>
        <w:sz w:val="20"/>
        <w:szCs w:val="20"/>
      </w:rPr>
      <w:fldChar w:fldCharType="begin"/>
    </w:r>
    <w:r w:rsidRPr="00317656">
      <w:rPr>
        <w:rFonts w:ascii="Gill Sans MT" w:hAnsi="Gill Sans MT"/>
        <w:sz w:val="20"/>
        <w:szCs w:val="20"/>
      </w:rPr>
      <w:instrText xml:space="preserve"> PAGE   \* MERGEFORMAT </w:instrText>
    </w:r>
    <w:r w:rsidRPr="00317656">
      <w:rPr>
        <w:rFonts w:ascii="Gill Sans MT" w:hAnsi="Gill Sans MT"/>
        <w:sz w:val="20"/>
        <w:szCs w:val="20"/>
      </w:rPr>
      <w:fldChar w:fldCharType="separate"/>
    </w:r>
    <w:r w:rsidR="00AD440D">
      <w:rPr>
        <w:rFonts w:ascii="Gill Sans MT" w:hAnsi="Gill Sans MT"/>
        <w:noProof/>
        <w:sz w:val="20"/>
        <w:szCs w:val="20"/>
      </w:rPr>
      <w:t>6</w:t>
    </w:r>
    <w:r w:rsidRPr="00317656">
      <w:rPr>
        <w:rFonts w:ascii="Gill Sans MT" w:hAnsi="Gill Sans MT"/>
        <w:noProof/>
        <w:sz w:val="20"/>
        <w:szCs w:val="20"/>
      </w:rPr>
      <w:fldChar w:fldCharType="end"/>
    </w:r>
    <w:r w:rsidR="00DE5014">
      <w:rPr>
        <w:rFonts w:ascii="Gill Sans MT" w:hAnsi="Gill Sans MT"/>
        <w:noProof/>
        <w:sz w:val="20"/>
        <w:szCs w:val="20"/>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9F" w:rsidRDefault="00DD723D" w:rsidP="0025319F">
    <w:pPr>
      <w:pStyle w:val="Footer"/>
      <w:ind w:left="-1418"/>
    </w:pPr>
    <w:r>
      <w:rPr>
        <w:noProof/>
      </w:rPr>
      <w:drawing>
        <wp:inline distT="0" distB="0" distL="0" distR="0">
          <wp:extent cx="10690860" cy="1546860"/>
          <wp:effectExtent l="0" t="0" r="0" b="0"/>
          <wp:docPr id="160" name="Picture 160" descr="Tasmanian Health Service branding and the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Users\tradivojevic\Pictures\THS A4 Landscape Footer for 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0860" cy="1546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A38" w:rsidRDefault="00191A38" w:rsidP="00317656">
      <w:pPr>
        <w:spacing w:after="0" w:line="240" w:lineRule="auto"/>
      </w:pPr>
      <w:r>
        <w:separator/>
      </w:r>
    </w:p>
  </w:footnote>
  <w:footnote w:type="continuationSeparator" w:id="0">
    <w:p w:rsidR="00191A38" w:rsidRDefault="00191A38" w:rsidP="00317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C1"/>
    <w:multiLevelType w:val="hybridMultilevel"/>
    <w:tmpl w:val="F0BE40EE"/>
    <w:lvl w:ilvl="0" w:tplc="EC4A8F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8B3A1A"/>
    <w:multiLevelType w:val="hybridMultilevel"/>
    <w:tmpl w:val="6696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75733D"/>
    <w:multiLevelType w:val="hybridMultilevel"/>
    <w:tmpl w:val="8C3ECFFC"/>
    <w:lvl w:ilvl="0" w:tplc="5574D85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7742DF"/>
    <w:multiLevelType w:val="hybridMultilevel"/>
    <w:tmpl w:val="46A82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AD3FDF"/>
    <w:multiLevelType w:val="hybridMultilevel"/>
    <w:tmpl w:val="0AD85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CC5B41"/>
    <w:multiLevelType w:val="hybridMultilevel"/>
    <w:tmpl w:val="2D381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474F2D"/>
    <w:multiLevelType w:val="hybridMultilevel"/>
    <w:tmpl w:val="6AA0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8747E0"/>
    <w:multiLevelType w:val="hybridMultilevel"/>
    <w:tmpl w:val="52B2D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F7F238F"/>
    <w:multiLevelType w:val="hybridMultilevel"/>
    <w:tmpl w:val="DF0A3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8"/>
  </w:num>
  <w:num w:numId="7">
    <w:abstractNumId w:val="4"/>
  </w:num>
  <w:num w:numId="8">
    <w:abstractNumId w:val="2"/>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28"/>
    <w:rsid w:val="00005E03"/>
    <w:rsid w:val="00014A38"/>
    <w:rsid w:val="00027234"/>
    <w:rsid w:val="00031BDD"/>
    <w:rsid w:val="00036C4D"/>
    <w:rsid w:val="00103461"/>
    <w:rsid w:val="00175365"/>
    <w:rsid w:val="00191A38"/>
    <w:rsid w:val="001979B1"/>
    <w:rsid w:val="001C2B64"/>
    <w:rsid w:val="00223215"/>
    <w:rsid w:val="00244B60"/>
    <w:rsid w:val="0025319F"/>
    <w:rsid w:val="002665BF"/>
    <w:rsid w:val="00317656"/>
    <w:rsid w:val="00326E14"/>
    <w:rsid w:val="0034724F"/>
    <w:rsid w:val="0035792D"/>
    <w:rsid w:val="00382C49"/>
    <w:rsid w:val="00397534"/>
    <w:rsid w:val="003F545B"/>
    <w:rsid w:val="00430DE7"/>
    <w:rsid w:val="004957BB"/>
    <w:rsid w:val="004B2110"/>
    <w:rsid w:val="004B7EFA"/>
    <w:rsid w:val="004C0DBC"/>
    <w:rsid w:val="004C21E9"/>
    <w:rsid w:val="004E4A30"/>
    <w:rsid w:val="00542505"/>
    <w:rsid w:val="00574A19"/>
    <w:rsid w:val="005C5DA3"/>
    <w:rsid w:val="005D0322"/>
    <w:rsid w:val="005D68CD"/>
    <w:rsid w:val="006642E3"/>
    <w:rsid w:val="006E1F8D"/>
    <w:rsid w:val="00703B4D"/>
    <w:rsid w:val="0071348F"/>
    <w:rsid w:val="007323D8"/>
    <w:rsid w:val="007353DB"/>
    <w:rsid w:val="007436C5"/>
    <w:rsid w:val="00744C4F"/>
    <w:rsid w:val="00753E83"/>
    <w:rsid w:val="00784DEF"/>
    <w:rsid w:val="0079188A"/>
    <w:rsid w:val="007D3DDE"/>
    <w:rsid w:val="008075E2"/>
    <w:rsid w:val="00840228"/>
    <w:rsid w:val="008A43F3"/>
    <w:rsid w:val="00962B3E"/>
    <w:rsid w:val="00990A92"/>
    <w:rsid w:val="009C6DF5"/>
    <w:rsid w:val="00A05108"/>
    <w:rsid w:val="00A25356"/>
    <w:rsid w:val="00A547BA"/>
    <w:rsid w:val="00A8791D"/>
    <w:rsid w:val="00AB2121"/>
    <w:rsid w:val="00AD440D"/>
    <w:rsid w:val="00AD712B"/>
    <w:rsid w:val="00B31F7F"/>
    <w:rsid w:val="00B53153"/>
    <w:rsid w:val="00B6200D"/>
    <w:rsid w:val="00BD2ADB"/>
    <w:rsid w:val="00BD3564"/>
    <w:rsid w:val="00BD4C87"/>
    <w:rsid w:val="00C21D39"/>
    <w:rsid w:val="00C64975"/>
    <w:rsid w:val="00C75949"/>
    <w:rsid w:val="00C933A1"/>
    <w:rsid w:val="00CD59E9"/>
    <w:rsid w:val="00CE54A7"/>
    <w:rsid w:val="00D006D8"/>
    <w:rsid w:val="00D964A1"/>
    <w:rsid w:val="00DA579A"/>
    <w:rsid w:val="00DD723D"/>
    <w:rsid w:val="00DE5014"/>
    <w:rsid w:val="00DF2813"/>
    <w:rsid w:val="00E140F5"/>
    <w:rsid w:val="00E6550B"/>
    <w:rsid w:val="00EA281D"/>
    <w:rsid w:val="00F077BC"/>
    <w:rsid w:val="00F42679"/>
    <w:rsid w:val="00F81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83E710"/>
  <w15:chartTrackingRefBased/>
  <w15:docId w15:val="{3D1BAA93-56AF-4593-A1C1-D530870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5792D"/>
    <w:pPr>
      <w:spacing w:before="240" w:after="120"/>
      <w:outlineLvl w:val="0"/>
    </w:pPr>
    <w:rPr>
      <w:rFonts w:ascii="Gill Sans MT" w:hAnsi="Gill Sans MT"/>
      <w:b/>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8">
    <w:name w:val="Pa28"/>
    <w:basedOn w:val="Normal"/>
    <w:next w:val="Normal"/>
    <w:uiPriority w:val="99"/>
    <w:rsid w:val="00397534"/>
    <w:pPr>
      <w:autoSpaceDE w:val="0"/>
      <w:autoSpaceDN w:val="0"/>
      <w:adjustRightInd w:val="0"/>
      <w:spacing w:after="0" w:line="211" w:lineRule="atLeast"/>
    </w:pPr>
    <w:rPr>
      <w:sz w:val="24"/>
      <w:szCs w:val="24"/>
      <w:lang w:eastAsia="en-AU"/>
    </w:rPr>
  </w:style>
  <w:style w:type="paragraph" w:customStyle="1" w:styleId="Pa29">
    <w:name w:val="Pa29"/>
    <w:basedOn w:val="Normal"/>
    <w:next w:val="Normal"/>
    <w:uiPriority w:val="99"/>
    <w:rsid w:val="00397534"/>
    <w:pPr>
      <w:autoSpaceDE w:val="0"/>
      <w:autoSpaceDN w:val="0"/>
      <w:adjustRightInd w:val="0"/>
      <w:spacing w:after="0" w:line="211" w:lineRule="atLeast"/>
    </w:pPr>
    <w:rPr>
      <w:sz w:val="24"/>
      <w:szCs w:val="24"/>
      <w:lang w:eastAsia="en-AU"/>
    </w:rPr>
  </w:style>
  <w:style w:type="paragraph" w:customStyle="1" w:styleId="Pa8">
    <w:name w:val="Pa8"/>
    <w:basedOn w:val="Normal"/>
    <w:next w:val="Normal"/>
    <w:uiPriority w:val="99"/>
    <w:rsid w:val="00397534"/>
    <w:pPr>
      <w:autoSpaceDE w:val="0"/>
      <w:autoSpaceDN w:val="0"/>
      <w:adjustRightInd w:val="0"/>
      <w:spacing w:after="0" w:line="211" w:lineRule="atLeast"/>
    </w:pPr>
    <w:rPr>
      <w:sz w:val="24"/>
      <w:szCs w:val="24"/>
      <w:lang w:eastAsia="en-AU"/>
    </w:rPr>
  </w:style>
  <w:style w:type="character" w:customStyle="1" w:styleId="A3">
    <w:name w:val="A3"/>
    <w:uiPriority w:val="99"/>
    <w:rsid w:val="00CE54A7"/>
    <w:rPr>
      <w:rFonts w:cs="Frutiger"/>
      <w:color w:val="000000"/>
      <w:sz w:val="20"/>
      <w:szCs w:val="20"/>
    </w:rPr>
  </w:style>
  <w:style w:type="paragraph" w:styleId="BalloonText">
    <w:name w:val="Balloon Text"/>
    <w:basedOn w:val="Normal"/>
    <w:link w:val="BalloonTextChar"/>
    <w:uiPriority w:val="99"/>
    <w:semiHidden/>
    <w:unhideWhenUsed/>
    <w:rsid w:val="00014A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4A38"/>
    <w:rPr>
      <w:rFonts w:ascii="Segoe UI" w:hAnsi="Segoe UI" w:cs="Segoe UI"/>
      <w:sz w:val="18"/>
      <w:szCs w:val="18"/>
      <w:lang w:eastAsia="en-US"/>
    </w:rPr>
  </w:style>
  <w:style w:type="paragraph" w:styleId="ListParagraph">
    <w:name w:val="List Paragraph"/>
    <w:basedOn w:val="Normal"/>
    <w:uiPriority w:val="34"/>
    <w:qFormat/>
    <w:rsid w:val="006642E3"/>
    <w:pPr>
      <w:spacing w:after="200" w:line="276" w:lineRule="auto"/>
      <w:ind w:left="720"/>
      <w:contextualSpacing/>
    </w:pPr>
  </w:style>
  <w:style w:type="paragraph" w:styleId="Footer">
    <w:name w:val="footer"/>
    <w:basedOn w:val="Normal"/>
    <w:link w:val="FooterChar"/>
    <w:uiPriority w:val="99"/>
    <w:unhideWhenUsed/>
    <w:rsid w:val="00E6550B"/>
    <w:pPr>
      <w:tabs>
        <w:tab w:val="center" w:pos="4513"/>
        <w:tab w:val="right" w:pos="9026"/>
      </w:tabs>
    </w:pPr>
  </w:style>
  <w:style w:type="character" w:customStyle="1" w:styleId="FooterChar">
    <w:name w:val="Footer Char"/>
    <w:link w:val="Footer"/>
    <w:uiPriority w:val="99"/>
    <w:rsid w:val="00E6550B"/>
    <w:rPr>
      <w:sz w:val="22"/>
      <w:szCs w:val="22"/>
      <w:lang w:eastAsia="en-US"/>
    </w:rPr>
  </w:style>
  <w:style w:type="paragraph" w:styleId="Header">
    <w:name w:val="header"/>
    <w:basedOn w:val="Normal"/>
    <w:link w:val="HeaderChar"/>
    <w:uiPriority w:val="99"/>
    <w:unhideWhenUsed/>
    <w:rsid w:val="00317656"/>
    <w:pPr>
      <w:tabs>
        <w:tab w:val="center" w:pos="4513"/>
        <w:tab w:val="right" w:pos="9026"/>
      </w:tabs>
    </w:pPr>
  </w:style>
  <w:style w:type="character" w:customStyle="1" w:styleId="HeaderChar">
    <w:name w:val="Header Char"/>
    <w:link w:val="Header"/>
    <w:uiPriority w:val="99"/>
    <w:rsid w:val="00317656"/>
    <w:rPr>
      <w:sz w:val="22"/>
      <w:szCs w:val="22"/>
      <w:lang w:eastAsia="en-US"/>
    </w:rPr>
  </w:style>
  <w:style w:type="character" w:styleId="CommentReference">
    <w:name w:val="annotation reference"/>
    <w:uiPriority w:val="99"/>
    <w:semiHidden/>
    <w:unhideWhenUsed/>
    <w:rsid w:val="00574A19"/>
    <w:rPr>
      <w:sz w:val="16"/>
      <w:szCs w:val="16"/>
    </w:rPr>
  </w:style>
  <w:style w:type="paragraph" w:styleId="CommentText">
    <w:name w:val="annotation text"/>
    <w:basedOn w:val="Normal"/>
    <w:link w:val="CommentTextChar"/>
    <w:uiPriority w:val="99"/>
    <w:semiHidden/>
    <w:unhideWhenUsed/>
    <w:rsid w:val="00574A19"/>
    <w:rPr>
      <w:sz w:val="20"/>
      <w:szCs w:val="20"/>
    </w:rPr>
  </w:style>
  <w:style w:type="character" w:customStyle="1" w:styleId="CommentTextChar">
    <w:name w:val="Comment Text Char"/>
    <w:link w:val="CommentText"/>
    <w:uiPriority w:val="99"/>
    <w:semiHidden/>
    <w:rsid w:val="00574A19"/>
    <w:rPr>
      <w:lang w:eastAsia="en-US"/>
    </w:rPr>
  </w:style>
  <w:style w:type="paragraph" w:styleId="Title">
    <w:name w:val="Title"/>
    <w:basedOn w:val="Normal"/>
    <w:next w:val="Normal"/>
    <w:link w:val="TitleChar"/>
    <w:uiPriority w:val="10"/>
    <w:qFormat/>
    <w:rsid w:val="0035792D"/>
    <w:pPr>
      <w:jc w:val="center"/>
    </w:pPr>
    <w:rPr>
      <w:rFonts w:ascii="Gill Sans MT" w:hAnsi="Gill Sans MT"/>
      <w:b/>
      <w:color w:val="1F4E79"/>
      <w:sz w:val="48"/>
    </w:rPr>
  </w:style>
  <w:style w:type="character" w:customStyle="1" w:styleId="TitleChar">
    <w:name w:val="Title Char"/>
    <w:basedOn w:val="DefaultParagraphFont"/>
    <w:link w:val="Title"/>
    <w:uiPriority w:val="10"/>
    <w:rsid w:val="0035792D"/>
    <w:rPr>
      <w:rFonts w:ascii="Gill Sans MT" w:hAnsi="Gill Sans MT"/>
      <w:b/>
      <w:color w:val="1F4E79"/>
      <w:sz w:val="48"/>
      <w:szCs w:val="22"/>
      <w:lang w:eastAsia="en-US"/>
    </w:rPr>
  </w:style>
  <w:style w:type="character" w:customStyle="1" w:styleId="Heading1Char">
    <w:name w:val="Heading 1 Char"/>
    <w:basedOn w:val="DefaultParagraphFont"/>
    <w:link w:val="Heading1"/>
    <w:uiPriority w:val="9"/>
    <w:rsid w:val="0035792D"/>
    <w:rPr>
      <w:rFonts w:ascii="Gill Sans MT" w:hAnsi="Gill Sans MT"/>
      <w:b/>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4864">
      <w:bodyDiv w:val="1"/>
      <w:marLeft w:val="0"/>
      <w:marRight w:val="0"/>
      <w:marTop w:val="0"/>
      <w:marBottom w:val="0"/>
      <w:divBdr>
        <w:top w:val="none" w:sz="0" w:space="0" w:color="auto"/>
        <w:left w:val="none" w:sz="0" w:space="0" w:color="auto"/>
        <w:bottom w:val="none" w:sz="0" w:space="0" w:color="auto"/>
        <w:right w:val="none" w:sz="0" w:space="0" w:color="auto"/>
      </w:divBdr>
    </w:div>
    <w:div w:id="1023282651">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20488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12FE-5D10-4128-BFC6-D4E4A7CB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RHH Access Solutions Action Plan</vt:lpstr>
    </vt:vector>
  </TitlesOfParts>
  <Company>DHHS</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RHH Access Solutions Action Plan</dc:title>
  <dc:subject/>
  <dc:creator>Howes, Lisa D</dc:creator>
  <cp:keywords/>
  <cp:lastModifiedBy>Radivojevic, Tracey L</cp:lastModifiedBy>
  <cp:revision>2</cp:revision>
  <cp:lastPrinted>2019-06-28T00:37:00Z</cp:lastPrinted>
  <dcterms:created xsi:type="dcterms:W3CDTF">2019-06-28T05:46:00Z</dcterms:created>
  <dcterms:modified xsi:type="dcterms:W3CDTF">2019-06-28T05:46:00Z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